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2" w:rsidRPr="000959CB" w:rsidRDefault="00B115A5" w:rsidP="00EF0827">
      <w:pPr>
        <w:pStyle w:val="Heading1"/>
        <w:spacing w:before="0" w:line="360" w:lineRule="auto"/>
        <w:rPr>
          <w:noProof/>
          <w:lang w:val="en-US" w:eastAsia="fr-BE"/>
        </w:rPr>
      </w:pPr>
      <w:r>
        <w:rPr>
          <w:noProof/>
          <w:lang w:val="en-US" w:eastAsia="fr-BE"/>
        </w:rPr>
        <w:t>Steel confirmed as most recycled packaging material in Europe</w:t>
      </w:r>
    </w:p>
    <w:p w:rsidR="006E60A6" w:rsidRPr="00911554" w:rsidRDefault="00A6459F" w:rsidP="00EF0827">
      <w:pPr>
        <w:tabs>
          <w:tab w:val="left" w:pos="6078"/>
        </w:tabs>
        <w:spacing w:after="0" w:line="360" w:lineRule="auto"/>
        <w:rPr>
          <w:lang w:val="en-US" w:eastAsia="fr-BE"/>
        </w:rPr>
      </w:pPr>
      <w:r>
        <w:rPr>
          <w:lang w:val="en-US" w:eastAsia="fr-BE"/>
        </w:rPr>
        <w:tab/>
      </w:r>
    </w:p>
    <w:p w:rsidR="00C2061B" w:rsidRDefault="006E60A6" w:rsidP="00EF0827">
      <w:pPr>
        <w:spacing w:after="0" w:line="360" w:lineRule="auto"/>
        <w:rPr>
          <w:rStyle w:val="IntenseEmphasis"/>
          <w:lang w:val="en-GB"/>
        </w:rPr>
      </w:pPr>
      <w:r w:rsidRPr="00E05DBB">
        <w:rPr>
          <w:rStyle w:val="IntenseEmphasis"/>
          <w:lang w:val="en-GB"/>
        </w:rPr>
        <w:t xml:space="preserve">APEAL (the Association of European Producers of Steel for Packaging) </w:t>
      </w:r>
      <w:r w:rsidR="00C2061B">
        <w:rPr>
          <w:rStyle w:val="IntenseEmphasis"/>
          <w:lang w:val="en-GB"/>
        </w:rPr>
        <w:t>has released</w:t>
      </w:r>
      <w:r w:rsidRPr="00E05DBB">
        <w:rPr>
          <w:rStyle w:val="IntenseEmphasis"/>
          <w:lang w:val="en-GB"/>
        </w:rPr>
        <w:t xml:space="preserve"> the latest </w:t>
      </w:r>
      <w:r w:rsidR="00344223" w:rsidRPr="00B115A5">
        <w:rPr>
          <w:rStyle w:val="IntenseEmphasis"/>
          <w:lang w:val="en-GB"/>
        </w:rPr>
        <w:t xml:space="preserve">European </w:t>
      </w:r>
      <w:r w:rsidR="00C2061B" w:rsidRPr="00B115A5">
        <w:rPr>
          <w:rStyle w:val="IntenseEmphasis"/>
          <w:lang w:val="en-GB"/>
        </w:rPr>
        <w:t xml:space="preserve">steel recycling figures. </w:t>
      </w:r>
    </w:p>
    <w:p w:rsidR="00EF0827" w:rsidRPr="00B115A5" w:rsidRDefault="00EF0827" w:rsidP="00EF0827">
      <w:pPr>
        <w:spacing w:after="0" w:line="360" w:lineRule="auto"/>
        <w:rPr>
          <w:rStyle w:val="IntenseEmphasis"/>
          <w:lang w:val="en-GB"/>
        </w:rPr>
      </w:pPr>
    </w:p>
    <w:p w:rsidR="00C2061B" w:rsidRDefault="00C2061B" w:rsidP="00EF0827">
      <w:pPr>
        <w:spacing w:after="0" w:line="360" w:lineRule="auto"/>
        <w:rPr>
          <w:rStyle w:val="IntenseEmphasis"/>
          <w:rFonts w:cstheme="minorHAnsi"/>
          <w:lang w:val="en-GB"/>
        </w:rPr>
      </w:pPr>
      <w:r w:rsidRPr="00B115A5">
        <w:rPr>
          <w:rStyle w:val="IntenseEmphasis"/>
          <w:lang w:val="en-GB"/>
        </w:rPr>
        <w:t>In 2012</w:t>
      </w:r>
      <w:r w:rsidR="00344223" w:rsidRPr="00B115A5">
        <w:rPr>
          <w:rStyle w:val="IntenseEmphasis"/>
          <w:lang w:val="en-GB"/>
        </w:rPr>
        <w:t xml:space="preserve">, </w:t>
      </w:r>
      <w:r w:rsidR="00F02CD0" w:rsidRPr="00B115A5">
        <w:rPr>
          <w:rStyle w:val="IntenseEmphasis"/>
          <w:lang w:val="en-GB"/>
        </w:rPr>
        <w:t>2.</w:t>
      </w:r>
      <w:r w:rsidR="00385AC3">
        <w:rPr>
          <w:rStyle w:val="IntenseEmphasis"/>
          <w:lang w:val="en-GB"/>
        </w:rPr>
        <w:t>7</w:t>
      </w:r>
      <w:r w:rsidR="00F02CD0" w:rsidRPr="00B115A5">
        <w:rPr>
          <w:rStyle w:val="IntenseEmphasis"/>
          <w:lang w:val="en-GB"/>
        </w:rPr>
        <w:t xml:space="preserve"> </w:t>
      </w:r>
      <w:r w:rsidR="009D6C82" w:rsidRPr="00B115A5">
        <w:rPr>
          <w:rStyle w:val="IntenseEmphasis"/>
          <w:lang w:val="en-GB"/>
        </w:rPr>
        <w:t xml:space="preserve">million tonnes of steel packaging were recycled </w:t>
      </w:r>
      <w:r w:rsidR="00344223" w:rsidRPr="00B115A5">
        <w:rPr>
          <w:rStyle w:val="IntenseEmphasis"/>
          <w:lang w:val="en-GB"/>
        </w:rPr>
        <w:t>to make new steel products</w:t>
      </w:r>
      <w:r w:rsidR="009D6C82" w:rsidRPr="00B115A5">
        <w:rPr>
          <w:rStyle w:val="IntenseEmphasis"/>
          <w:lang w:val="en-GB"/>
        </w:rPr>
        <w:t>, corresponding to an average European rate of</w:t>
      </w:r>
      <w:r w:rsidR="009D6C82" w:rsidRPr="00B115A5">
        <w:rPr>
          <w:rStyle w:val="IntenseEmphasis"/>
          <w:color w:val="FF0000"/>
          <w:lang w:val="en-GB"/>
        </w:rPr>
        <w:t xml:space="preserve"> </w:t>
      </w:r>
      <w:r w:rsidR="009D6C82" w:rsidRPr="00B115A5">
        <w:rPr>
          <w:rStyle w:val="IntenseEmphasis"/>
          <w:lang w:val="en-GB"/>
        </w:rPr>
        <w:t>7</w:t>
      </w:r>
      <w:r w:rsidR="005E449D" w:rsidRPr="00B115A5">
        <w:rPr>
          <w:rStyle w:val="IntenseEmphasis"/>
          <w:lang w:val="en-GB"/>
        </w:rPr>
        <w:t>4</w:t>
      </w:r>
      <w:r w:rsidRPr="00B115A5">
        <w:rPr>
          <w:rStyle w:val="IntenseEmphasis"/>
          <w:lang w:val="en-GB"/>
        </w:rPr>
        <w:t xml:space="preserve">%. This </w:t>
      </w:r>
      <w:r w:rsidRPr="00B115A5">
        <w:rPr>
          <w:rStyle w:val="IntenseEmphasis"/>
          <w:rFonts w:cstheme="minorHAnsi"/>
          <w:lang w:val="en-GB"/>
        </w:rPr>
        <w:t>reinforces</w:t>
      </w:r>
      <w:r w:rsidR="009D6C82" w:rsidRPr="00B115A5">
        <w:rPr>
          <w:rStyle w:val="IntenseEmphasis"/>
          <w:rFonts w:cstheme="minorHAnsi"/>
          <w:lang w:val="en-GB"/>
        </w:rPr>
        <w:t xml:space="preserve"> the long term trend for steel as the most recycl</w:t>
      </w:r>
      <w:r w:rsidR="00C16985" w:rsidRPr="00B115A5">
        <w:rPr>
          <w:rStyle w:val="IntenseEmphasis"/>
          <w:rFonts w:cstheme="minorHAnsi"/>
          <w:lang w:val="en-GB"/>
        </w:rPr>
        <w:t xml:space="preserve">ed packaging material in Europe. </w:t>
      </w:r>
      <w:r w:rsidR="009D6C82" w:rsidRPr="00B115A5">
        <w:rPr>
          <w:rStyle w:val="IntenseEmphasis"/>
          <w:rFonts w:cstheme="minorHAnsi"/>
          <w:lang w:val="en-GB"/>
        </w:rPr>
        <w:t xml:space="preserve"> </w:t>
      </w:r>
    </w:p>
    <w:p w:rsidR="00EF0827" w:rsidRPr="00B115A5" w:rsidRDefault="00EF0827" w:rsidP="00EF0827">
      <w:pPr>
        <w:spacing w:after="0" w:line="360" w:lineRule="auto"/>
        <w:rPr>
          <w:rStyle w:val="IntenseEmphasis"/>
          <w:rFonts w:cstheme="minorHAnsi"/>
          <w:lang w:val="en-GB"/>
        </w:rPr>
      </w:pPr>
    </w:p>
    <w:p w:rsidR="009D6C82" w:rsidRDefault="00C2061B" w:rsidP="00EF0827">
      <w:pPr>
        <w:spacing w:after="0" w:line="360" w:lineRule="auto"/>
        <w:rPr>
          <w:rStyle w:val="IntenseEmphasis"/>
          <w:rFonts w:cstheme="minorHAnsi"/>
          <w:lang w:val="en-GB"/>
        </w:rPr>
      </w:pPr>
      <w:r w:rsidRPr="00B115A5">
        <w:rPr>
          <w:rStyle w:val="IntenseEmphasis"/>
          <w:rFonts w:cstheme="minorHAnsi"/>
          <w:lang w:val="en-GB"/>
        </w:rPr>
        <w:t xml:space="preserve">Steel packaging’s recycling rate has increased threefold over </w:t>
      </w:r>
      <w:r w:rsidR="009D6C82" w:rsidRPr="00B115A5">
        <w:rPr>
          <w:rStyle w:val="IntenseEmphasis"/>
          <w:rFonts w:cstheme="minorHAnsi"/>
          <w:lang w:val="en-GB"/>
        </w:rPr>
        <w:t>the last 20 years t</w:t>
      </w:r>
      <w:r w:rsidRPr="00B115A5">
        <w:rPr>
          <w:rStyle w:val="IntenseEmphasis"/>
          <w:rFonts w:cstheme="minorHAnsi"/>
          <w:lang w:val="en-GB"/>
        </w:rPr>
        <w:t>hanks to a combination of its</w:t>
      </w:r>
      <w:r w:rsidR="009D6C82" w:rsidRPr="00B115A5">
        <w:rPr>
          <w:rStyle w:val="IntenseEmphasis"/>
          <w:rFonts w:cstheme="minorHAnsi"/>
          <w:lang w:val="en-GB"/>
        </w:rPr>
        <w:t xml:space="preserve"> </w:t>
      </w:r>
      <w:r w:rsidR="00F661C8" w:rsidRPr="00B115A5">
        <w:rPr>
          <w:rStyle w:val="IntenseEmphasis"/>
          <w:rFonts w:cstheme="minorHAnsi"/>
          <w:lang w:val="en-GB"/>
        </w:rPr>
        <w:t>infinite</w:t>
      </w:r>
      <w:r w:rsidR="00F02CD0" w:rsidRPr="00B115A5">
        <w:rPr>
          <w:rStyle w:val="IntenseEmphasis"/>
          <w:rFonts w:cstheme="minorHAnsi"/>
          <w:lang w:val="en-GB"/>
        </w:rPr>
        <w:t xml:space="preserve"> </w:t>
      </w:r>
      <w:r w:rsidR="00F661C8" w:rsidRPr="00B115A5">
        <w:rPr>
          <w:rStyle w:val="IntenseEmphasis"/>
          <w:rFonts w:cstheme="minorHAnsi"/>
          <w:lang w:val="en-GB"/>
        </w:rPr>
        <w:t>recyclability</w:t>
      </w:r>
      <w:r w:rsidR="009D6C82" w:rsidRPr="00B115A5">
        <w:rPr>
          <w:rStyle w:val="IntenseEmphasis"/>
          <w:rFonts w:cstheme="minorHAnsi"/>
          <w:lang w:val="en-GB"/>
        </w:rPr>
        <w:t xml:space="preserve">, </w:t>
      </w:r>
      <w:r w:rsidR="00F661C8" w:rsidRPr="00B115A5">
        <w:rPr>
          <w:rStyle w:val="IntenseEmphasis"/>
          <w:rFonts w:cstheme="minorHAnsi"/>
          <w:lang w:val="en-GB"/>
        </w:rPr>
        <w:t>the ease with which magnetic steel can be recovered</w:t>
      </w:r>
      <w:r w:rsidR="009D6C82" w:rsidRPr="00B115A5">
        <w:rPr>
          <w:rStyle w:val="IntenseEmphasis"/>
          <w:rFonts w:cstheme="minorHAnsi"/>
          <w:lang w:val="en-GB"/>
        </w:rPr>
        <w:t xml:space="preserve"> </w:t>
      </w:r>
      <w:r w:rsidRPr="00B115A5">
        <w:rPr>
          <w:rStyle w:val="IntenseEmphasis"/>
          <w:rFonts w:cstheme="minorHAnsi"/>
          <w:lang w:val="en-GB"/>
        </w:rPr>
        <w:t xml:space="preserve">from </w:t>
      </w:r>
      <w:r w:rsidR="001D6B96">
        <w:rPr>
          <w:rStyle w:val="IntenseEmphasis"/>
          <w:rFonts w:cstheme="minorHAnsi"/>
          <w:lang w:val="en-GB"/>
        </w:rPr>
        <w:t xml:space="preserve">the </w:t>
      </w:r>
      <w:r w:rsidRPr="00B115A5">
        <w:rPr>
          <w:rStyle w:val="IntenseEmphasis"/>
          <w:rFonts w:cstheme="minorHAnsi"/>
          <w:lang w:val="en-GB"/>
        </w:rPr>
        <w:t xml:space="preserve">waste stream </w:t>
      </w:r>
      <w:r w:rsidR="009D6C82" w:rsidRPr="00B115A5">
        <w:rPr>
          <w:rStyle w:val="IntenseEmphasis"/>
          <w:rFonts w:cstheme="minorHAnsi"/>
          <w:lang w:val="en-GB"/>
        </w:rPr>
        <w:t>and</w:t>
      </w:r>
      <w:r w:rsidR="00F02CD0" w:rsidRPr="00B115A5">
        <w:rPr>
          <w:rStyle w:val="IntenseEmphasis"/>
          <w:rFonts w:cstheme="minorHAnsi"/>
          <w:lang w:val="en-GB"/>
        </w:rPr>
        <w:t xml:space="preserve"> recycled, and</w:t>
      </w:r>
      <w:r w:rsidR="009D6C82" w:rsidRPr="00B115A5">
        <w:rPr>
          <w:rStyle w:val="IntenseEmphasis"/>
          <w:rFonts w:cstheme="minorHAnsi"/>
          <w:lang w:val="en-GB"/>
        </w:rPr>
        <w:t xml:space="preserve"> </w:t>
      </w:r>
      <w:r w:rsidR="00F02CD0" w:rsidRPr="00B115A5">
        <w:rPr>
          <w:rStyle w:val="IntenseEmphasis"/>
          <w:rFonts w:cstheme="minorHAnsi"/>
          <w:lang w:val="en-GB"/>
        </w:rPr>
        <w:t xml:space="preserve">an understanding of </w:t>
      </w:r>
      <w:r w:rsidR="00F661C8" w:rsidRPr="00B115A5">
        <w:rPr>
          <w:rStyle w:val="IntenseEmphasis"/>
          <w:rFonts w:cstheme="minorHAnsi"/>
          <w:lang w:val="en-GB"/>
        </w:rPr>
        <w:t>the</w:t>
      </w:r>
      <w:r w:rsidR="00AF1B02" w:rsidRPr="00B115A5">
        <w:rPr>
          <w:rStyle w:val="IntenseEmphasis"/>
          <w:rFonts w:cstheme="minorHAnsi"/>
          <w:lang w:val="en-GB"/>
        </w:rPr>
        <w:t xml:space="preserve"> </w:t>
      </w:r>
      <w:r w:rsidR="009D6C82" w:rsidRPr="00B115A5">
        <w:rPr>
          <w:rStyle w:val="IntenseEmphasis"/>
          <w:rFonts w:cstheme="minorHAnsi"/>
          <w:lang w:val="en-GB"/>
        </w:rPr>
        <w:t xml:space="preserve">resource </w:t>
      </w:r>
      <w:r w:rsidR="00826B33" w:rsidRPr="00B115A5">
        <w:rPr>
          <w:rStyle w:val="IntenseEmphasis"/>
          <w:rFonts w:cstheme="minorHAnsi"/>
          <w:lang w:val="en-GB"/>
        </w:rPr>
        <w:t xml:space="preserve">and emissions </w:t>
      </w:r>
      <w:r w:rsidR="00F661C8" w:rsidRPr="00B115A5">
        <w:rPr>
          <w:rStyle w:val="IntenseEmphasis"/>
          <w:rFonts w:cstheme="minorHAnsi"/>
          <w:lang w:val="en-GB"/>
        </w:rPr>
        <w:t>savings</w:t>
      </w:r>
      <w:r w:rsidR="009D6C82" w:rsidRPr="00B115A5">
        <w:rPr>
          <w:rStyle w:val="IntenseEmphasis"/>
          <w:rFonts w:cstheme="minorHAnsi"/>
          <w:lang w:val="en-GB"/>
        </w:rPr>
        <w:t xml:space="preserve"> </w:t>
      </w:r>
      <w:r w:rsidR="00335F98" w:rsidRPr="00B115A5">
        <w:rPr>
          <w:rStyle w:val="IntenseEmphasis"/>
          <w:rFonts w:cstheme="minorHAnsi"/>
          <w:lang w:val="en-GB"/>
        </w:rPr>
        <w:t>to</w:t>
      </w:r>
      <w:r w:rsidR="00826B33" w:rsidRPr="00B115A5">
        <w:rPr>
          <w:rStyle w:val="IntenseEmphasis"/>
          <w:rFonts w:cstheme="minorHAnsi"/>
          <w:lang w:val="en-GB"/>
        </w:rPr>
        <w:t xml:space="preserve"> be</w:t>
      </w:r>
      <w:r w:rsidR="00F661C8" w:rsidRPr="00B115A5">
        <w:rPr>
          <w:rStyle w:val="IntenseEmphasis"/>
          <w:rFonts w:cstheme="minorHAnsi"/>
          <w:lang w:val="en-GB"/>
        </w:rPr>
        <w:t xml:space="preserve"> </w:t>
      </w:r>
      <w:r w:rsidR="00F02CD0" w:rsidRPr="00B115A5">
        <w:rPr>
          <w:rStyle w:val="IntenseEmphasis"/>
          <w:rFonts w:cstheme="minorHAnsi"/>
          <w:lang w:val="en-GB"/>
        </w:rPr>
        <w:t>gained</w:t>
      </w:r>
      <w:r w:rsidR="009D6C82" w:rsidRPr="00B115A5">
        <w:rPr>
          <w:rStyle w:val="IntenseEmphasis"/>
          <w:rFonts w:cstheme="minorHAnsi"/>
          <w:lang w:val="en-GB"/>
        </w:rPr>
        <w:t>.</w:t>
      </w:r>
    </w:p>
    <w:p w:rsidR="00EF0827" w:rsidRPr="00B115A5" w:rsidRDefault="00EF0827" w:rsidP="00EF0827">
      <w:pPr>
        <w:spacing w:after="0" w:line="360" w:lineRule="auto"/>
        <w:rPr>
          <w:rStyle w:val="IntenseEmphasis"/>
          <w:rFonts w:cstheme="minorHAnsi"/>
          <w:lang w:val="en-GB"/>
        </w:rPr>
      </w:pPr>
    </w:p>
    <w:p w:rsidR="00B115A5" w:rsidRDefault="00E4437E" w:rsidP="00EF0827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Alexander Mohr, Secretary G</w:t>
      </w:r>
      <w:r w:rsidR="00B115A5">
        <w:rPr>
          <w:rFonts w:cstheme="minorHAnsi"/>
          <w:lang w:val="en-GB"/>
        </w:rPr>
        <w:t>eneral of APEA</w:t>
      </w:r>
      <w:r>
        <w:rPr>
          <w:rFonts w:cstheme="minorHAnsi"/>
          <w:lang w:val="en-GB"/>
        </w:rPr>
        <w:t>L</w:t>
      </w:r>
      <w:r w:rsidR="001D6B96">
        <w:rPr>
          <w:rFonts w:cstheme="minorHAnsi"/>
          <w:lang w:val="en-GB"/>
        </w:rPr>
        <w:t>,</w:t>
      </w:r>
      <w:r w:rsidR="00B115A5">
        <w:rPr>
          <w:rFonts w:cstheme="minorHAnsi"/>
          <w:lang w:val="en-GB"/>
        </w:rPr>
        <w:t xml:space="preserve"> commented: </w:t>
      </w:r>
      <w:r w:rsidR="00B115A5" w:rsidRPr="00B115A5">
        <w:rPr>
          <w:rFonts w:cstheme="minorHAnsi"/>
          <w:lang w:val="en-GB"/>
        </w:rPr>
        <w:t>“</w:t>
      </w:r>
      <w:r w:rsidR="00B115A5">
        <w:rPr>
          <w:rFonts w:cstheme="minorHAnsi"/>
          <w:lang w:val="en-GB"/>
        </w:rPr>
        <w:t>These figures evidence a continued dedication to the recycling of steel packaging and jus</w:t>
      </w:r>
      <w:r w:rsidR="001D6B96">
        <w:rPr>
          <w:rFonts w:cstheme="minorHAnsi"/>
          <w:lang w:val="en-GB"/>
        </w:rPr>
        <w:t>t how big an impact it can have in driving up ra</w:t>
      </w:r>
      <w:r>
        <w:rPr>
          <w:rFonts w:cstheme="minorHAnsi"/>
          <w:lang w:val="en-GB"/>
        </w:rPr>
        <w:t>t</w:t>
      </w:r>
      <w:r w:rsidR="001D6B96">
        <w:rPr>
          <w:rFonts w:cstheme="minorHAnsi"/>
          <w:lang w:val="en-GB"/>
        </w:rPr>
        <w:t>es.</w:t>
      </w:r>
    </w:p>
    <w:p w:rsidR="00EF0827" w:rsidRDefault="00EF0827" w:rsidP="00EF0827">
      <w:pPr>
        <w:spacing w:after="0" w:line="360" w:lineRule="auto"/>
        <w:rPr>
          <w:rFonts w:cstheme="minorHAnsi"/>
          <w:lang w:val="en-GB"/>
        </w:rPr>
      </w:pPr>
    </w:p>
    <w:p w:rsidR="00B115A5" w:rsidRDefault="00B115A5" w:rsidP="00EF0827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“While steel maintains its position as the most recycled packaging material in Europe</w:t>
      </w:r>
      <w:r w:rsidR="001D6B96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it is clear there is still some work to be done in order for the industry to hit its vision</w:t>
      </w:r>
      <w:r w:rsidR="00E4437E">
        <w:rPr>
          <w:rFonts w:cstheme="minorHAnsi"/>
          <w:lang w:val="en-GB"/>
        </w:rPr>
        <w:t xml:space="preserve"> of 80% recycling rate</w:t>
      </w:r>
      <w:r>
        <w:rPr>
          <w:rFonts w:cstheme="minorHAnsi"/>
          <w:lang w:val="en-GB"/>
        </w:rPr>
        <w:t xml:space="preserve"> by 2020.</w:t>
      </w:r>
    </w:p>
    <w:p w:rsidR="00E4437E" w:rsidRDefault="00B115A5" w:rsidP="00EF0827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“APEAL has no doubt that these targets will be achieved </w:t>
      </w:r>
      <w:r w:rsidR="00E4437E">
        <w:rPr>
          <w:rFonts w:cstheme="minorHAnsi"/>
          <w:lang w:val="en-GB"/>
        </w:rPr>
        <w:t>especially when you consider that the top five recycling countries in Europe already have an average steel recycling rate of 90%.”</w:t>
      </w:r>
    </w:p>
    <w:p w:rsidR="00C2061B" w:rsidRDefault="00E4437E" w:rsidP="00EF0827">
      <w:pPr>
        <w:spacing w:after="0" w:line="360" w:lineRule="auto"/>
        <w:rPr>
          <w:rStyle w:val="IntenseEmphasis"/>
          <w:rFonts w:cstheme="minorHAnsi"/>
          <w:lang w:val="en-GB"/>
        </w:rPr>
      </w:pPr>
      <w:r>
        <w:rPr>
          <w:rStyle w:val="IntenseEmphasis"/>
          <w:rFonts w:cstheme="minorHAnsi"/>
          <w:lang w:val="en-GB"/>
        </w:rPr>
        <w:lastRenderedPageBreak/>
        <w:t>Steel</w:t>
      </w:r>
      <w:r w:rsidR="00C2061B" w:rsidRPr="00B115A5">
        <w:rPr>
          <w:rStyle w:val="IntenseEmphasis"/>
          <w:rFonts w:cstheme="minorHAnsi"/>
          <w:lang w:val="en-GB"/>
        </w:rPr>
        <w:t xml:space="preserve"> remains the most recycled packaging material in Europe. Plastic, beverage cartons, aluminium and glass demonstrate rates of 35%, 39%, 68% and 70% respectively (according to latest available data).</w:t>
      </w:r>
    </w:p>
    <w:p w:rsidR="00EF0827" w:rsidRPr="00B115A5" w:rsidRDefault="00EF0827" w:rsidP="00EF0827">
      <w:pPr>
        <w:spacing w:after="0" w:line="360" w:lineRule="auto"/>
        <w:rPr>
          <w:rStyle w:val="IntenseEmphasis"/>
          <w:rFonts w:cstheme="minorHAnsi"/>
          <w:lang w:val="en-GB"/>
        </w:rPr>
      </w:pPr>
    </w:p>
    <w:p w:rsidR="009D6C82" w:rsidRDefault="009D6C82" w:rsidP="00EF0827">
      <w:pPr>
        <w:spacing w:after="0" w:line="360" w:lineRule="auto"/>
        <w:rPr>
          <w:rFonts w:cstheme="minorHAnsi"/>
          <w:lang w:val="en-GB"/>
        </w:rPr>
      </w:pPr>
      <w:r w:rsidRPr="00B115A5">
        <w:rPr>
          <w:rFonts w:cstheme="minorHAnsi"/>
          <w:lang w:val="en-GB"/>
        </w:rPr>
        <w:t xml:space="preserve">A tonne of recycled steel saves </w:t>
      </w:r>
      <w:r w:rsidR="005E449D" w:rsidRPr="00B115A5">
        <w:rPr>
          <w:rFonts w:cstheme="minorHAnsi"/>
          <w:lang w:val="en-GB"/>
        </w:rPr>
        <w:t>over</w:t>
      </w:r>
      <w:r w:rsidRPr="00B115A5">
        <w:rPr>
          <w:rFonts w:cstheme="minorHAnsi"/>
          <w:lang w:val="en-GB"/>
        </w:rPr>
        <w:t xml:space="preserve"> one and a half</w:t>
      </w:r>
      <w:r w:rsidR="001D6B96">
        <w:rPr>
          <w:rFonts w:cstheme="minorHAnsi"/>
          <w:lang w:val="en-GB"/>
        </w:rPr>
        <w:t xml:space="preserve"> times</w:t>
      </w:r>
      <w:r w:rsidRPr="00B115A5">
        <w:rPr>
          <w:rFonts w:cstheme="minorHAnsi"/>
          <w:lang w:val="en-GB"/>
        </w:rPr>
        <w:t xml:space="preserve"> its weight in CO</w:t>
      </w:r>
      <w:r w:rsidRPr="00B115A5">
        <w:rPr>
          <w:rFonts w:cstheme="minorHAnsi"/>
          <w:vertAlign w:val="subscript"/>
          <w:lang w:val="en-GB"/>
        </w:rPr>
        <w:t>2</w:t>
      </w:r>
      <w:r w:rsidR="00C2061B" w:rsidRPr="00B115A5">
        <w:rPr>
          <w:rFonts w:cstheme="minorHAnsi"/>
          <w:lang w:val="en-GB"/>
        </w:rPr>
        <w:t xml:space="preserve"> emissions, over twice its weight in raw materials and uses </w:t>
      </w:r>
      <w:r w:rsidR="001B3CF4" w:rsidRPr="00B115A5">
        <w:rPr>
          <w:rFonts w:cstheme="minorHAnsi"/>
          <w:lang w:val="en-GB"/>
        </w:rPr>
        <w:t>70</w:t>
      </w:r>
      <w:r w:rsidRPr="00B115A5">
        <w:rPr>
          <w:rFonts w:cstheme="minorHAnsi"/>
          <w:lang w:val="en-GB"/>
        </w:rPr>
        <w:t>% less energy</w:t>
      </w:r>
      <w:r w:rsidR="001D6B96">
        <w:rPr>
          <w:rFonts w:cstheme="minorHAnsi"/>
          <w:lang w:val="en-GB"/>
        </w:rPr>
        <w:t xml:space="preserve"> than producing steel from virgin sources. </w:t>
      </w:r>
    </w:p>
    <w:p w:rsidR="00EF0827" w:rsidRPr="00B115A5" w:rsidRDefault="00EF0827" w:rsidP="00EF0827">
      <w:pPr>
        <w:spacing w:after="0" w:line="360" w:lineRule="auto"/>
        <w:rPr>
          <w:rStyle w:val="IntenseEmphasis"/>
          <w:rFonts w:cstheme="minorHAnsi"/>
          <w:lang w:val="en-GB"/>
        </w:rPr>
      </w:pPr>
    </w:p>
    <w:p w:rsidR="006E60A6" w:rsidRDefault="006E60A6" w:rsidP="00EF0827">
      <w:pPr>
        <w:spacing w:after="0" w:line="360" w:lineRule="auto"/>
        <w:rPr>
          <w:rStyle w:val="IntenseEmphasis"/>
          <w:lang w:val="en-GB"/>
        </w:rPr>
      </w:pPr>
      <w:r w:rsidRPr="00B115A5">
        <w:rPr>
          <w:rStyle w:val="IntenseEmphasis"/>
          <w:lang w:val="en-GB"/>
        </w:rPr>
        <w:t xml:space="preserve">The methodology and data sources used for the calculation of </w:t>
      </w:r>
      <w:r w:rsidR="00F02CD0" w:rsidRPr="00B115A5">
        <w:rPr>
          <w:rStyle w:val="IntenseEmphasis"/>
          <w:lang w:val="en-GB"/>
        </w:rPr>
        <w:t>the European steel recycling rate</w:t>
      </w:r>
      <w:r w:rsidRPr="00B115A5">
        <w:rPr>
          <w:rStyle w:val="IntenseEmphasis"/>
          <w:lang w:val="en-GB"/>
        </w:rPr>
        <w:t xml:space="preserve"> have been </w:t>
      </w:r>
      <w:r w:rsidR="00D417D9" w:rsidRPr="00B115A5">
        <w:rPr>
          <w:rStyle w:val="IntenseEmphasis"/>
          <w:lang w:val="en-GB"/>
        </w:rPr>
        <w:t xml:space="preserve">once again </w:t>
      </w:r>
      <w:r w:rsidRPr="00B115A5">
        <w:rPr>
          <w:rStyle w:val="IntenseEmphasis"/>
          <w:lang w:val="en-GB"/>
        </w:rPr>
        <w:t xml:space="preserve">reviewed </w:t>
      </w:r>
      <w:r w:rsidR="00017371" w:rsidRPr="00B115A5">
        <w:rPr>
          <w:rStyle w:val="IntenseEmphasis"/>
          <w:lang w:val="en-GB"/>
        </w:rPr>
        <w:t>independently by</w:t>
      </w:r>
      <w:r w:rsidRPr="00B115A5">
        <w:rPr>
          <w:rStyle w:val="IntenseEmphasis"/>
          <w:lang w:val="en-GB"/>
        </w:rPr>
        <w:t xml:space="preserve"> the</w:t>
      </w:r>
      <w:r w:rsidR="00017371" w:rsidRPr="00B115A5">
        <w:rPr>
          <w:rStyle w:val="IntenseEmphasis"/>
          <w:lang w:val="en-GB"/>
        </w:rPr>
        <w:t xml:space="preserve"> energy and waste specialist</w:t>
      </w:r>
      <w:r w:rsidRPr="00B115A5">
        <w:rPr>
          <w:rStyle w:val="IntenseEmphasis"/>
          <w:lang w:val="en-GB"/>
        </w:rPr>
        <w:t xml:space="preserve"> consultancy, Eunomia, </w:t>
      </w:r>
      <w:r w:rsidR="00D417D9" w:rsidRPr="00B115A5">
        <w:rPr>
          <w:rStyle w:val="IntenseEmphasis"/>
          <w:lang w:val="en-GB"/>
        </w:rPr>
        <w:t>who</w:t>
      </w:r>
      <w:r w:rsidR="00C2061B" w:rsidRPr="00B115A5">
        <w:rPr>
          <w:rStyle w:val="IntenseEmphasis"/>
          <w:lang w:val="en-GB"/>
        </w:rPr>
        <w:t xml:space="preserve"> have</w:t>
      </w:r>
      <w:r w:rsidR="00D417D9" w:rsidRPr="00B115A5">
        <w:rPr>
          <w:rStyle w:val="IntenseEmphasis"/>
          <w:lang w:val="en-GB"/>
        </w:rPr>
        <w:t xml:space="preserve"> confirm</w:t>
      </w:r>
      <w:r w:rsidR="00C2061B" w:rsidRPr="00B115A5">
        <w:rPr>
          <w:rStyle w:val="IntenseEmphasis"/>
          <w:lang w:val="en-GB"/>
        </w:rPr>
        <w:t>ed</w:t>
      </w:r>
      <w:r w:rsidRPr="00B115A5">
        <w:rPr>
          <w:rStyle w:val="IntenseEmphasis"/>
          <w:lang w:val="en-GB"/>
        </w:rPr>
        <w:t xml:space="preserve"> the credibility</w:t>
      </w:r>
      <w:r w:rsidR="00D417D9" w:rsidRPr="00B115A5">
        <w:rPr>
          <w:rStyle w:val="IntenseEmphasis"/>
          <w:lang w:val="en-GB"/>
        </w:rPr>
        <w:t xml:space="preserve"> of APEAL’s </w:t>
      </w:r>
      <w:r w:rsidR="00335F98" w:rsidRPr="00B115A5">
        <w:rPr>
          <w:rStyle w:val="IntenseEmphasis"/>
          <w:lang w:val="en-GB"/>
        </w:rPr>
        <w:t xml:space="preserve">methodology and </w:t>
      </w:r>
      <w:r w:rsidR="00D417D9" w:rsidRPr="00B115A5">
        <w:rPr>
          <w:rStyle w:val="IntenseEmphasis"/>
          <w:lang w:val="en-GB"/>
        </w:rPr>
        <w:t>data.</w:t>
      </w:r>
    </w:p>
    <w:p w:rsidR="00EF0827" w:rsidRDefault="00EF0827" w:rsidP="00EF0827">
      <w:pPr>
        <w:spacing w:after="0" w:line="360" w:lineRule="auto"/>
        <w:rPr>
          <w:rStyle w:val="IntenseEmphasis"/>
          <w:lang w:val="en-GB"/>
        </w:rPr>
      </w:pPr>
    </w:p>
    <w:p w:rsidR="00EF0827" w:rsidRPr="00B115A5" w:rsidRDefault="00EF0827" w:rsidP="00EF0827">
      <w:pPr>
        <w:spacing w:after="0" w:line="360" w:lineRule="auto"/>
        <w:jc w:val="right"/>
        <w:rPr>
          <w:rStyle w:val="IntenseEmphasis"/>
          <w:lang w:val="en-GB"/>
        </w:rPr>
      </w:pPr>
      <w:r>
        <w:rPr>
          <w:rStyle w:val="IntenseEmphasis"/>
          <w:lang w:val="en-GB"/>
        </w:rPr>
        <w:t>Ends</w:t>
      </w:r>
    </w:p>
    <w:p w:rsidR="006E60A6" w:rsidRDefault="006E60A6" w:rsidP="00E05DBB">
      <w:pPr>
        <w:spacing w:after="0"/>
        <w:rPr>
          <w:lang w:val="en-GB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B115A5" w:rsidRPr="00B115A5" w:rsidTr="00E46C98">
        <w:trPr>
          <w:trHeight w:val="2220"/>
        </w:trPr>
        <w:tc>
          <w:tcPr>
            <w:tcW w:w="5542" w:type="dxa"/>
          </w:tcPr>
          <w:p w:rsidR="00B115A5" w:rsidRPr="00B115A5" w:rsidRDefault="00B115A5" w:rsidP="00B115A5">
            <w:pPr>
              <w:spacing w:after="0" w:line="240" w:lineRule="auto"/>
              <w:rPr>
                <w:i/>
                <w:sz w:val="24"/>
                <w:szCs w:val="24"/>
                <w:u w:val="single"/>
                <w:lang w:val="en-GB"/>
              </w:rPr>
            </w:pPr>
            <w:r w:rsidRPr="00B115A5">
              <w:rPr>
                <w:i/>
                <w:sz w:val="24"/>
                <w:szCs w:val="24"/>
                <w:u w:val="single"/>
                <w:lang w:val="en-GB"/>
              </w:rPr>
              <w:t>Media enq</w:t>
            </w:r>
            <w:bookmarkStart w:id="0" w:name="_GoBack"/>
            <w:bookmarkEnd w:id="0"/>
            <w:r w:rsidRPr="00B115A5">
              <w:rPr>
                <w:i/>
                <w:sz w:val="24"/>
                <w:szCs w:val="24"/>
                <w:u w:val="single"/>
                <w:lang w:val="en-GB"/>
              </w:rPr>
              <w:t>uiries: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>Michael Bennett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>Pelican PR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 xml:space="preserve">Email: </w:t>
            </w:r>
            <w:hyperlink r:id="rId8" w:history="1">
              <w:r w:rsidRPr="00B115A5">
                <w:rPr>
                  <w:color w:val="0000FF"/>
                  <w:sz w:val="24"/>
                  <w:szCs w:val="24"/>
                  <w:u w:val="single"/>
                  <w:lang w:val="en-GB"/>
                </w:rPr>
                <w:t>michael.bennett@pelicanpr.co.uk</w:t>
              </w:r>
            </w:hyperlink>
            <w:r w:rsidRPr="00B115A5">
              <w:rPr>
                <w:sz w:val="24"/>
                <w:szCs w:val="24"/>
                <w:lang w:val="en-GB"/>
              </w:rPr>
              <w:t xml:space="preserve">  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>Matthew Dent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>Pelican PR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 xml:space="preserve">Email : </w:t>
            </w:r>
            <w:hyperlink r:id="rId9" w:history="1">
              <w:r w:rsidRPr="00B115A5">
                <w:rPr>
                  <w:color w:val="0000FF"/>
                  <w:sz w:val="24"/>
                  <w:szCs w:val="24"/>
                  <w:u w:val="single"/>
                  <w:lang w:val="en-GB"/>
                </w:rPr>
                <w:t>matthew.dent@pelicanpr.co.uk</w:t>
              </w:r>
            </w:hyperlink>
            <w:r w:rsidRPr="00B115A5">
              <w:rPr>
                <w:sz w:val="24"/>
                <w:szCs w:val="24"/>
                <w:lang w:val="en-GB"/>
              </w:rPr>
              <w:t xml:space="preserve"> 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166" w:type="dxa"/>
          </w:tcPr>
          <w:p w:rsidR="00B115A5" w:rsidRPr="00B115A5" w:rsidRDefault="00B115A5" w:rsidP="00B115A5">
            <w:pPr>
              <w:spacing w:after="0" w:line="240" w:lineRule="auto"/>
              <w:rPr>
                <w:i/>
                <w:sz w:val="24"/>
                <w:szCs w:val="24"/>
                <w:u w:val="single"/>
                <w:lang w:val="en-GB"/>
              </w:rPr>
            </w:pPr>
            <w:r w:rsidRPr="00B115A5">
              <w:rPr>
                <w:i/>
                <w:sz w:val="24"/>
                <w:szCs w:val="24"/>
                <w:u w:val="single"/>
                <w:lang w:val="en-GB"/>
              </w:rPr>
              <w:t xml:space="preserve">APEAL: 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>Patricia Mobbs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>Communications Manager</w:t>
            </w: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15A5">
              <w:rPr>
                <w:sz w:val="24"/>
                <w:szCs w:val="24"/>
                <w:lang w:val="en-GB"/>
              </w:rPr>
              <w:t xml:space="preserve">E-mail: </w:t>
            </w:r>
            <w:hyperlink r:id="rId10" w:history="1">
              <w:r w:rsidRPr="00B115A5">
                <w:rPr>
                  <w:sz w:val="24"/>
                  <w:szCs w:val="24"/>
                  <w:lang w:val="en-GB"/>
                </w:rPr>
                <w:t>p.mobbs@apeal.be</w:t>
              </w:r>
            </w:hyperlink>
          </w:p>
          <w:p w:rsidR="00B115A5" w:rsidRPr="00B115A5" w:rsidRDefault="00B115A5" w:rsidP="00B115A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B115A5" w:rsidRPr="00B115A5" w:rsidRDefault="00385AC3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hyperlink r:id="rId11" w:history="1">
              <w:r w:rsidR="00B115A5" w:rsidRPr="00B115A5">
                <w:rPr>
                  <w:color w:val="0000FF"/>
                  <w:sz w:val="24"/>
                  <w:szCs w:val="24"/>
                  <w:u w:val="single"/>
                  <w:lang w:val="en-GB"/>
                </w:rPr>
                <w:t>www.apeal.org</w:t>
              </w:r>
            </w:hyperlink>
            <w:r w:rsidR="00B115A5" w:rsidRPr="00B115A5">
              <w:rPr>
                <w:sz w:val="24"/>
                <w:szCs w:val="24"/>
                <w:lang w:val="en-GB"/>
              </w:rPr>
              <w:t xml:space="preserve">  </w:t>
            </w:r>
          </w:p>
          <w:p w:rsidR="00B115A5" w:rsidRPr="00B115A5" w:rsidRDefault="00385AC3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hyperlink r:id="rId12" w:history="1">
              <w:r w:rsidR="00B115A5" w:rsidRPr="00B115A5">
                <w:rPr>
                  <w:color w:val="0000FF"/>
                  <w:sz w:val="24"/>
                  <w:szCs w:val="24"/>
                  <w:u w:val="single"/>
                  <w:lang w:val="en-GB"/>
                </w:rPr>
                <w:t>www.steelforpackaging.org</w:t>
              </w:r>
            </w:hyperlink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115A5" w:rsidRPr="00B115A5" w:rsidRDefault="00B115A5" w:rsidP="00B115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B115A5" w:rsidRPr="00B115A5" w:rsidRDefault="00B115A5" w:rsidP="00B115A5">
      <w:pPr>
        <w:spacing w:after="0" w:line="240" w:lineRule="auto"/>
        <w:rPr>
          <w:rFonts w:cs="Calibri"/>
          <w:b/>
          <w:sz w:val="20"/>
          <w:szCs w:val="20"/>
          <w:lang w:val="en-GB"/>
        </w:rPr>
      </w:pPr>
      <w:r w:rsidRPr="00B115A5">
        <w:rPr>
          <w:rFonts w:cs="Calibri"/>
          <w:b/>
          <w:sz w:val="20"/>
          <w:szCs w:val="20"/>
          <w:lang w:val="en-GB"/>
        </w:rPr>
        <w:t>About APEAL</w:t>
      </w:r>
    </w:p>
    <w:p w:rsidR="00B115A5" w:rsidRPr="00B115A5" w:rsidRDefault="00B115A5" w:rsidP="00B115A5">
      <w:pPr>
        <w:spacing w:after="0" w:line="240" w:lineRule="auto"/>
        <w:rPr>
          <w:sz w:val="20"/>
          <w:szCs w:val="20"/>
          <w:vertAlign w:val="superscript"/>
          <w:lang w:val="en-GB"/>
        </w:rPr>
      </w:pPr>
      <w:r w:rsidRPr="00B115A5">
        <w:rPr>
          <w:rFonts w:cs="Calibri"/>
          <w:sz w:val="20"/>
          <w:szCs w:val="20"/>
          <w:lang w:val="en-GB"/>
        </w:rPr>
        <w:t xml:space="preserve">APEAL - the Association of European Producers of Steel for Packaging is a federation of four multi-national producers of steel for packaging (ArcelorMittal, Tata Steel Packaging, ThyssenKrupp Rasselstein, U.S. Steel Košice). In total these four companies employ over 200,000 workers in </w:t>
      </w:r>
      <w:smartTag w:uri="urn:schemas-microsoft-com:office:smarttags" w:element="place">
        <w:r w:rsidRPr="00B115A5">
          <w:rPr>
            <w:rFonts w:cs="Calibri"/>
            <w:sz w:val="20"/>
            <w:szCs w:val="20"/>
            <w:lang w:val="en-GB"/>
          </w:rPr>
          <w:t>Europe</w:t>
        </w:r>
      </w:smartTag>
      <w:r w:rsidRPr="00B115A5">
        <w:rPr>
          <w:rFonts w:cs="Calibri"/>
          <w:sz w:val="20"/>
          <w:szCs w:val="20"/>
          <w:lang w:val="en-GB"/>
        </w:rPr>
        <w:t>. Founded in 1986, APEAL represents today about 95% of the total European production of steel for packaging.</w:t>
      </w:r>
    </w:p>
    <w:p w:rsidR="00B115A5" w:rsidRPr="00B115A5" w:rsidRDefault="00B115A5" w:rsidP="00B115A5">
      <w:pPr>
        <w:spacing w:after="0" w:line="240" w:lineRule="auto"/>
        <w:rPr>
          <w:sz w:val="20"/>
          <w:szCs w:val="20"/>
          <w:lang w:val="en-GB"/>
        </w:rPr>
      </w:pPr>
    </w:p>
    <w:p w:rsidR="00B115A5" w:rsidRPr="00B115A5" w:rsidRDefault="00B115A5" w:rsidP="00B115A5">
      <w:pPr>
        <w:spacing w:after="0" w:line="240" w:lineRule="auto"/>
        <w:rPr>
          <w:rFonts w:cs="Calibri"/>
          <w:b/>
          <w:sz w:val="20"/>
          <w:szCs w:val="20"/>
          <w:lang w:val="en-GB"/>
        </w:rPr>
      </w:pPr>
      <w:r w:rsidRPr="00B115A5">
        <w:rPr>
          <w:rFonts w:cs="Calibri"/>
          <w:b/>
          <w:sz w:val="20"/>
          <w:szCs w:val="20"/>
          <w:lang w:val="en-GB"/>
        </w:rPr>
        <w:t>About Steel for Packaging</w:t>
      </w:r>
    </w:p>
    <w:p w:rsidR="00B115A5" w:rsidRPr="00B115A5" w:rsidRDefault="00B115A5" w:rsidP="00B115A5">
      <w:pPr>
        <w:spacing w:line="240" w:lineRule="auto"/>
        <w:rPr>
          <w:rFonts w:cs="Calibri"/>
          <w:sz w:val="20"/>
          <w:szCs w:val="20"/>
          <w:lang w:val="en-GB"/>
        </w:rPr>
      </w:pPr>
      <w:r w:rsidRPr="00B115A5">
        <w:rPr>
          <w:rFonts w:cs="Calibri"/>
          <w:sz w:val="20"/>
          <w:szCs w:val="20"/>
          <w:lang w:val="en-GB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:rsidR="006E60A6" w:rsidRPr="00E05DBB" w:rsidRDefault="006E60A6" w:rsidP="00657055">
      <w:pPr>
        <w:spacing w:after="0"/>
        <w:rPr>
          <w:lang w:val="en-GB"/>
        </w:rPr>
      </w:pPr>
    </w:p>
    <w:p w:rsidR="000F0C0C" w:rsidRDefault="000F0C0C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p w:rsidR="006E60A6" w:rsidRDefault="006E60A6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p w:rsidR="00AD000B" w:rsidRDefault="00AD000B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sectPr w:rsidR="00AD000B" w:rsidSect="0006085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4" w:rsidRDefault="00E51224" w:rsidP="006E648F">
      <w:pPr>
        <w:spacing w:after="0" w:line="240" w:lineRule="auto"/>
      </w:pPr>
      <w:r>
        <w:separator/>
      </w:r>
    </w:p>
  </w:endnote>
  <w:endnote w:type="continuationSeparator" w:id="0">
    <w:p w:rsidR="00E51224" w:rsidRDefault="00E51224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0" w:rsidRDefault="007D3430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7D3430" w:rsidRPr="006D2B21" w:rsidRDefault="007D3430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7D3430" w:rsidRPr="006D2B21" w:rsidRDefault="007D3430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F515DB2" wp14:editId="0F84476A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21">
      <w:rPr>
        <w:color w:val="566B73"/>
        <w:sz w:val="16"/>
        <w:szCs w:val="16"/>
        <w:lang w:val="en-US"/>
      </w:rPr>
      <w:t xml:space="preserve">Avenue </w:t>
    </w:r>
    <w:r>
      <w:rPr>
        <w:color w:val="566B73"/>
        <w:sz w:val="16"/>
        <w:szCs w:val="16"/>
        <w:lang w:val="en-US"/>
      </w:rPr>
      <w:t xml:space="preserve">Ariane 5, B-1200 Brussels </w:t>
    </w:r>
    <w:r w:rsidRPr="006D2B21">
      <w:rPr>
        <w:color w:val="566B73"/>
        <w:sz w:val="16"/>
        <w:szCs w:val="16"/>
        <w:lang w:val="en-US"/>
      </w:rPr>
      <w:t>- Belgium</w:t>
    </w:r>
  </w:p>
  <w:p w:rsidR="007D3430" w:rsidRPr="006D2B21" w:rsidRDefault="007D3430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 xml:space="preserve">Tel: +32 </w:t>
    </w:r>
    <w:r w:rsidR="00AE12C4">
      <w:rPr>
        <w:color w:val="566B73"/>
        <w:sz w:val="16"/>
        <w:szCs w:val="16"/>
        <w:lang w:val="en-US"/>
      </w:rPr>
      <w:t>(2) 537 91 51 - Fax: +32 (2) 535 72 00</w:t>
    </w:r>
  </w:p>
  <w:p w:rsidR="007D3430" w:rsidRPr="006D2B21" w:rsidRDefault="007D3430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0" w:rsidRDefault="007D3430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7D3430" w:rsidRPr="006D2B21" w:rsidRDefault="007D3430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7D3430" w:rsidRPr="006D2B21" w:rsidRDefault="007D3430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100BB39" wp14:editId="041B422B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66B73"/>
        <w:sz w:val="16"/>
        <w:szCs w:val="16"/>
        <w:lang w:val="en-US"/>
      </w:rPr>
      <w:t>Avenue Ariane</w:t>
    </w:r>
    <w:r w:rsidRPr="006D2B21">
      <w:rPr>
        <w:color w:val="566B73"/>
        <w:sz w:val="16"/>
        <w:szCs w:val="16"/>
        <w:lang w:val="en-US"/>
      </w:rPr>
      <w:t>,</w:t>
    </w:r>
    <w:r>
      <w:rPr>
        <w:color w:val="566B73"/>
        <w:sz w:val="16"/>
        <w:szCs w:val="16"/>
        <w:lang w:val="en-US"/>
      </w:rPr>
      <w:t xml:space="preserve"> 5</w:t>
    </w:r>
    <w:r w:rsidRPr="006D2B21">
      <w:rPr>
        <w:color w:val="566B73"/>
        <w:sz w:val="16"/>
        <w:szCs w:val="16"/>
        <w:lang w:val="en-US"/>
      </w:rPr>
      <w:t xml:space="preserve"> - BE-1</w:t>
    </w:r>
    <w:r>
      <w:rPr>
        <w:color w:val="566B73"/>
        <w:sz w:val="16"/>
        <w:szCs w:val="16"/>
        <w:lang w:val="en-US"/>
      </w:rPr>
      <w:t>200</w:t>
    </w:r>
    <w:r w:rsidRPr="006D2B21">
      <w:rPr>
        <w:color w:val="566B73"/>
        <w:sz w:val="16"/>
        <w:szCs w:val="16"/>
        <w:lang w:val="en-US"/>
      </w:rPr>
      <w:t xml:space="preserve"> Brussels - Belgium</w:t>
    </w:r>
  </w:p>
  <w:p w:rsidR="007D3430" w:rsidRPr="006D2B21" w:rsidRDefault="007D3430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</w:t>
    </w:r>
    <w:r w:rsidR="00AE12C4">
      <w:rPr>
        <w:color w:val="566B73"/>
        <w:sz w:val="16"/>
        <w:szCs w:val="16"/>
        <w:lang w:val="en-US"/>
      </w:rPr>
      <w:t>7 91 51 - Fax: +32 (2) 535 72 00</w:t>
    </w:r>
  </w:p>
  <w:p w:rsidR="007D3430" w:rsidRPr="00B0783A" w:rsidRDefault="007D3430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4" w:rsidRDefault="00E51224" w:rsidP="006E648F">
      <w:pPr>
        <w:spacing w:after="0" w:line="240" w:lineRule="auto"/>
      </w:pPr>
      <w:r>
        <w:separator/>
      </w:r>
    </w:p>
  </w:footnote>
  <w:footnote w:type="continuationSeparator" w:id="0">
    <w:p w:rsidR="00E51224" w:rsidRDefault="00E51224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0" w:rsidRDefault="007D3430" w:rsidP="000608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0B46780" wp14:editId="03F389F9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430" w:rsidRDefault="007D3430" w:rsidP="00060854">
    <w:pPr>
      <w:pStyle w:val="Header"/>
    </w:pPr>
  </w:p>
  <w:p w:rsidR="007D3430" w:rsidRDefault="007D3430" w:rsidP="00060854">
    <w:pPr>
      <w:pStyle w:val="Header"/>
    </w:pPr>
  </w:p>
  <w:p w:rsidR="007D3430" w:rsidRDefault="007D3430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7D3430" w:rsidRPr="00A23DE6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:rsidR="007D3430" w:rsidRPr="00A23DE6" w:rsidRDefault="007D3430" w:rsidP="003105BB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Patricia Mobbs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EF0827" w:rsidRDefault="007D3430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 w:rsidRPr="00EF0827">
            <w:rPr>
              <w:color w:val="566B73"/>
              <w:sz w:val="20"/>
              <w:szCs w:val="20"/>
              <w:lang w:val="en-US"/>
            </w:rPr>
            <w:t>APEAL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EF0827" w:rsidRDefault="00385AC3" w:rsidP="002D3D9C">
          <w:pPr>
            <w:pStyle w:val="Header"/>
            <w:rPr>
              <w:color w:val="566B73"/>
              <w:sz w:val="20"/>
              <w:szCs w:val="20"/>
              <w:lang w:val="en-US"/>
            </w:rPr>
          </w:pPr>
          <w:hyperlink r:id="rId2" w:history="1">
            <w:r w:rsidR="00EF0827" w:rsidRPr="00EF0827">
              <w:rPr>
                <w:rStyle w:val="Hyperlink"/>
                <w:sz w:val="20"/>
                <w:szCs w:val="20"/>
              </w:rPr>
              <w:t>p.mobbs@apeal.be</w:t>
            </w:r>
          </w:hyperlink>
          <w:r w:rsidR="00EF0827" w:rsidRPr="00EF0827">
            <w:rPr>
              <w:sz w:val="20"/>
              <w:szCs w:val="20"/>
            </w:rPr>
            <w:t xml:space="preserve"> 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EF0827" w:rsidRDefault="00EF0827" w:rsidP="003105BB">
          <w:pPr>
            <w:pStyle w:val="Header"/>
            <w:rPr>
              <w:color w:val="566B73"/>
              <w:sz w:val="20"/>
              <w:szCs w:val="20"/>
            </w:rPr>
          </w:pPr>
          <w:r w:rsidRPr="00EF0827">
            <w:rPr>
              <w:color w:val="566B73"/>
              <w:sz w:val="20"/>
              <w:szCs w:val="20"/>
              <w:lang w:val="en-US"/>
            </w:rPr>
            <w:t xml:space="preserve">APEAL </w:t>
          </w:r>
          <w:r w:rsidR="00C2061B" w:rsidRPr="00EF0827">
            <w:rPr>
              <w:color w:val="566B73"/>
              <w:sz w:val="20"/>
              <w:szCs w:val="20"/>
              <w:lang w:val="en-US"/>
            </w:rPr>
            <w:t>Pelican 5798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r w:rsidRPr="00A23DE6">
            <w:rPr>
              <w:b/>
              <w:color w:val="566B73"/>
              <w:sz w:val="20"/>
              <w:szCs w:val="20"/>
            </w:rPr>
            <w:t>Number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A23DE6" w:rsidRDefault="000F0C0C" w:rsidP="003105BB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2</w:t>
          </w:r>
        </w:p>
      </w:tc>
    </w:tr>
    <w:tr w:rsidR="007D3430" w:rsidRPr="000A7CEC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:rsidR="007D3430" w:rsidRPr="00FC3996" w:rsidRDefault="00C2061B" w:rsidP="00C2061B">
          <w:pPr>
            <w:pStyle w:val="Header"/>
            <w:ind w:left="1026"/>
            <w:rPr>
              <w:color w:val="566B73"/>
              <w:sz w:val="28"/>
              <w:szCs w:val="28"/>
              <w:lang w:val="en-GB"/>
            </w:rPr>
          </w:pPr>
          <w:r>
            <w:rPr>
              <w:color w:val="566B73"/>
              <w:sz w:val="28"/>
              <w:szCs w:val="28"/>
              <w:lang w:val="en-GB"/>
            </w:rPr>
            <w:t>Dusseldorf</w:t>
          </w:r>
          <w:r w:rsidR="007D3430" w:rsidRPr="00FC3996">
            <w:rPr>
              <w:color w:val="566B73"/>
              <w:sz w:val="28"/>
              <w:szCs w:val="28"/>
              <w:lang w:val="en-GB"/>
            </w:rPr>
            <w:t>,</w:t>
          </w:r>
          <w:r>
            <w:rPr>
              <w:color w:val="566B73"/>
              <w:sz w:val="28"/>
              <w:szCs w:val="28"/>
              <w:lang w:val="en-GB"/>
            </w:rPr>
            <w:t xml:space="preserve"> 9</w:t>
          </w:r>
          <w:r w:rsidR="0076380A">
            <w:rPr>
              <w:color w:val="566B73"/>
              <w:sz w:val="28"/>
              <w:szCs w:val="28"/>
              <w:lang w:val="en-GB"/>
            </w:rPr>
            <w:t xml:space="preserve"> May</w:t>
          </w:r>
          <w:r w:rsidR="00FC3996" w:rsidRPr="00FC3996">
            <w:rPr>
              <w:color w:val="566B73"/>
              <w:sz w:val="28"/>
              <w:szCs w:val="28"/>
              <w:lang w:val="en-GB"/>
            </w:rPr>
            <w:t xml:space="preserve"> </w:t>
          </w:r>
          <w:r>
            <w:rPr>
              <w:color w:val="566B73"/>
              <w:sz w:val="28"/>
              <w:szCs w:val="28"/>
              <w:lang w:val="en-GB"/>
            </w:rPr>
            <w:t>2014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r w:rsidRPr="00A23DE6">
            <w:rPr>
              <w:b/>
              <w:color w:val="566B73"/>
              <w:sz w:val="20"/>
              <w:szCs w:val="20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:rsidR="007D3430" w:rsidRPr="003105BB" w:rsidRDefault="00C2061B" w:rsidP="00657055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>2012</w:t>
          </w:r>
          <w:r w:rsidR="007D3430" w:rsidRPr="00A514FB">
            <w:rPr>
              <w:color w:val="566B73"/>
              <w:sz w:val="20"/>
              <w:szCs w:val="20"/>
              <w:lang w:val="en-GB"/>
            </w:rPr>
            <w:t xml:space="preserve"> Steel Recycling Rates in Europe</w:t>
          </w:r>
        </w:p>
      </w:tc>
    </w:tr>
  </w:tbl>
  <w:p w:rsidR="007D3430" w:rsidRPr="003105BB" w:rsidRDefault="007D3430" w:rsidP="00060854">
    <w:pPr>
      <w:pStyle w:val="Header"/>
      <w:rPr>
        <w:lang w:val="en-US"/>
      </w:rPr>
    </w:pPr>
  </w:p>
  <w:p w:rsidR="007D3430" w:rsidRPr="003105BB" w:rsidRDefault="007D34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C12"/>
    <w:multiLevelType w:val="hybridMultilevel"/>
    <w:tmpl w:val="7850232A"/>
    <w:lvl w:ilvl="0" w:tplc="65002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F"/>
    <w:rsid w:val="00017371"/>
    <w:rsid w:val="00056A3C"/>
    <w:rsid w:val="00060854"/>
    <w:rsid w:val="000813A2"/>
    <w:rsid w:val="0008305B"/>
    <w:rsid w:val="000863F4"/>
    <w:rsid w:val="000959CB"/>
    <w:rsid w:val="000A7CEC"/>
    <w:rsid w:val="000F0C0C"/>
    <w:rsid w:val="00111CC6"/>
    <w:rsid w:val="001376A6"/>
    <w:rsid w:val="001774DF"/>
    <w:rsid w:val="00186D0B"/>
    <w:rsid w:val="001B3CF4"/>
    <w:rsid w:val="001D0618"/>
    <w:rsid w:val="001D6B96"/>
    <w:rsid w:val="002106F5"/>
    <w:rsid w:val="00213062"/>
    <w:rsid w:val="00233F10"/>
    <w:rsid w:val="002725B7"/>
    <w:rsid w:val="00277769"/>
    <w:rsid w:val="00292C78"/>
    <w:rsid w:val="002C0BB9"/>
    <w:rsid w:val="002D3D9C"/>
    <w:rsid w:val="002D7D11"/>
    <w:rsid w:val="002D7DE9"/>
    <w:rsid w:val="002E02F4"/>
    <w:rsid w:val="002E2886"/>
    <w:rsid w:val="002F2D9D"/>
    <w:rsid w:val="003105BB"/>
    <w:rsid w:val="003176E2"/>
    <w:rsid w:val="00335F98"/>
    <w:rsid w:val="00342EFC"/>
    <w:rsid w:val="00344223"/>
    <w:rsid w:val="00345EE6"/>
    <w:rsid w:val="003516C7"/>
    <w:rsid w:val="00360E07"/>
    <w:rsid w:val="00362DA1"/>
    <w:rsid w:val="00367310"/>
    <w:rsid w:val="00385AC3"/>
    <w:rsid w:val="00386984"/>
    <w:rsid w:val="003D208C"/>
    <w:rsid w:val="00426AB5"/>
    <w:rsid w:val="00426C71"/>
    <w:rsid w:val="00434131"/>
    <w:rsid w:val="0047410E"/>
    <w:rsid w:val="004869E6"/>
    <w:rsid w:val="00493666"/>
    <w:rsid w:val="00496C8C"/>
    <w:rsid w:val="004A4F02"/>
    <w:rsid w:val="004B3911"/>
    <w:rsid w:val="004D19E5"/>
    <w:rsid w:val="004D2410"/>
    <w:rsid w:val="004E18F7"/>
    <w:rsid w:val="004F64ED"/>
    <w:rsid w:val="00500310"/>
    <w:rsid w:val="00506FE4"/>
    <w:rsid w:val="00521041"/>
    <w:rsid w:val="00566C6A"/>
    <w:rsid w:val="005878F9"/>
    <w:rsid w:val="00592349"/>
    <w:rsid w:val="00593A8E"/>
    <w:rsid w:val="005B2B94"/>
    <w:rsid w:val="005C0F4B"/>
    <w:rsid w:val="005E449D"/>
    <w:rsid w:val="005E7F11"/>
    <w:rsid w:val="005F5B42"/>
    <w:rsid w:val="00600CFB"/>
    <w:rsid w:val="00605148"/>
    <w:rsid w:val="006102FA"/>
    <w:rsid w:val="006560DE"/>
    <w:rsid w:val="00657055"/>
    <w:rsid w:val="00670FB9"/>
    <w:rsid w:val="00673D0D"/>
    <w:rsid w:val="00696CC4"/>
    <w:rsid w:val="006A4776"/>
    <w:rsid w:val="006B47E9"/>
    <w:rsid w:val="006D2B21"/>
    <w:rsid w:val="006E33D9"/>
    <w:rsid w:val="006E5BF2"/>
    <w:rsid w:val="006E60A6"/>
    <w:rsid w:val="006E648F"/>
    <w:rsid w:val="006F4216"/>
    <w:rsid w:val="00727536"/>
    <w:rsid w:val="007627C8"/>
    <w:rsid w:val="0076380A"/>
    <w:rsid w:val="007732F1"/>
    <w:rsid w:val="007749BE"/>
    <w:rsid w:val="007D3430"/>
    <w:rsid w:val="007F3D2D"/>
    <w:rsid w:val="00801449"/>
    <w:rsid w:val="00822210"/>
    <w:rsid w:val="00826B33"/>
    <w:rsid w:val="00866787"/>
    <w:rsid w:val="00867AA1"/>
    <w:rsid w:val="00872DDF"/>
    <w:rsid w:val="00890CDD"/>
    <w:rsid w:val="00911554"/>
    <w:rsid w:val="00931012"/>
    <w:rsid w:val="00931D2A"/>
    <w:rsid w:val="00942976"/>
    <w:rsid w:val="009952DA"/>
    <w:rsid w:val="009A1DF6"/>
    <w:rsid w:val="009C156C"/>
    <w:rsid w:val="009D6969"/>
    <w:rsid w:val="009D6C82"/>
    <w:rsid w:val="00A23DE6"/>
    <w:rsid w:val="00A26EE1"/>
    <w:rsid w:val="00A3159A"/>
    <w:rsid w:val="00A3436F"/>
    <w:rsid w:val="00A35CF2"/>
    <w:rsid w:val="00A514FB"/>
    <w:rsid w:val="00A51895"/>
    <w:rsid w:val="00A53710"/>
    <w:rsid w:val="00A6244D"/>
    <w:rsid w:val="00A62DCD"/>
    <w:rsid w:val="00A6459F"/>
    <w:rsid w:val="00A90586"/>
    <w:rsid w:val="00AB25F9"/>
    <w:rsid w:val="00AD000B"/>
    <w:rsid w:val="00AE12C4"/>
    <w:rsid w:val="00AF1A8D"/>
    <w:rsid w:val="00AF1B02"/>
    <w:rsid w:val="00AF4482"/>
    <w:rsid w:val="00B05FF7"/>
    <w:rsid w:val="00B0783A"/>
    <w:rsid w:val="00B115A5"/>
    <w:rsid w:val="00B21F8B"/>
    <w:rsid w:val="00B53489"/>
    <w:rsid w:val="00B94226"/>
    <w:rsid w:val="00BB6EDD"/>
    <w:rsid w:val="00BE615C"/>
    <w:rsid w:val="00C044B3"/>
    <w:rsid w:val="00C11104"/>
    <w:rsid w:val="00C16985"/>
    <w:rsid w:val="00C2061B"/>
    <w:rsid w:val="00C347FD"/>
    <w:rsid w:val="00C37794"/>
    <w:rsid w:val="00C421A0"/>
    <w:rsid w:val="00C43B54"/>
    <w:rsid w:val="00C60150"/>
    <w:rsid w:val="00C77A0D"/>
    <w:rsid w:val="00C8451A"/>
    <w:rsid w:val="00CB0D6C"/>
    <w:rsid w:val="00CB0DAA"/>
    <w:rsid w:val="00D166DB"/>
    <w:rsid w:val="00D3539C"/>
    <w:rsid w:val="00D417D9"/>
    <w:rsid w:val="00D53818"/>
    <w:rsid w:val="00D671DD"/>
    <w:rsid w:val="00DC0CC3"/>
    <w:rsid w:val="00DC7DE2"/>
    <w:rsid w:val="00E05C27"/>
    <w:rsid w:val="00E05DBB"/>
    <w:rsid w:val="00E4437E"/>
    <w:rsid w:val="00E51224"/>
    <w:rsid w:val="00E512A8"/>
    <w:rsid w:val="00E5368E"/>
    <w:rsid w:val="00E56440"/>
    <w:rsid w:val="00E96835"/>
    <w:rsid w:val="00EA7847"/>
    <w:rsid w:val="00EF0827"/>
    <w:rsid w:val="00EF7C94"/>
    <w:rsid w:val="00F0216A"/>
    <w:rsid w:val="00F02CD0"/>
    <w:rsid w:val="00F448F6"/>
    <w:rsid w:val="00F451C7"/>
    <w:rsid w:val="00F661C8"/>
    <w:rsid w:val="00F672C5"/>
    <w:rsid w:val="00FC3996"/>
    <w:rsid w:val="00FD7AE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105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C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CE"/>
    <w:rPr>
      <w:b/>
      <w:bCs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105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C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CE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ennett@pelicanpr.co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eelforpackaging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e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mobbs@apea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.dent@pelicanpr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mobbs@apeal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REVIEWERS CONFIRM  2010 RECYLING RATE FOR STEEL PACKAGING</vt:lpstr>
    </vt:vector>
  </TitlesOfParts>
  <Company>Morris&amp;Chappman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REVIEWERS CONFIRM  2010 RECYLING RATE FOR STEEL PACKAGING</dc:title>
  <dc:creator>Thierry</dc:creator>
  <cp:lastModifiedBy>Michael.Bennett</cp:lastModifiedBy>
  <cp:revision>5</cp:revision>
  <cp:lastPrinted>2013-04-11T09:39:00Z</cp:lastPrinted>
  <dcterms:created xsi:type="dcterms:W3CDTF">2014-05-06T08:19:00Z</dcterms:created>
  <dcterms:modified xsi:type="dcterms:W3CDTF">2014-05-08T13:02:00Z</dcterms:modified>
</cp:coreProperties>
</file>