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329A" w14:textId="355764C9" w:rsidR="00E92D85" w:rsidRPr="0065523F" w:rsidRDefault="00651612" w:rsidP="006E2C27">
      <w:pPr>
        <w:spacing w:after="0" w:line="300" w:lineRule="exact"/>
        <w:jc w:val="both"/>
        <w:rPr>
          <w:rFonts w:ascii="Arial" w:eastAsia="Times New Roman" w:hAnsi="Arial"/>
          <w:b/>
          <w:caps/>
          <w:color w:val="566B73"/>
          <w:sz w:val="26"/>
          <w:szCs w:val="26"/>
        </w:rPr>
      </w:pPr>
      <w:r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>REACH COMMITTEE APPROVES</w:t>
      </w:r>
      <w:r w:rsidR="002D2C39"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 CONTINUED USE OF CHROMIUM TRIOXIDE IN TINPLATE </w:t>
      </w:r>
      <w:r w:rsidR="000F599E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AND </w:t>
      </w:r>
      <w:r w:rsidR="000F599E" w:rsidRPr="00F564B4">
        <w:rPr>
          <w:rFonts w:ascii="Arial" w:eastAsia="Times New Roman" w:hAnsi="Arial"/>
          <w:b/>
          <w:caps/>
          <w:color w:val="566B73"/>
          <w:sz w:val="26"/>
          <w:szCs w:val="26"/>
        </w:rPr>
        <w:t>Tin-Free</w:t>
      </w:r>
      <w:r w:rsidR="000F599E"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 </w:t>
      </w:r>
      <w:r w:rsidR="002D2C39"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>STEEL</w:t>
      </w:r>
      <w:r w:rsidR="00F564B4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 </w:t>
      </w:r>
    </w:p>
    <w:p w14:paraId="3F194677" w14:textId="77777777" w:rsidR="00A96104" w:rsidRPr="0065523F" w:rsidRDefault="00A96104" w:rsidP="006E2C27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0C0EFBED" w14:textId="49B093A9" w:rsidR="00651612" w:rsidRPr="0065523F" w:rsidRDefault="000239E1" w:rsidP="006E2C27">
      <w:pPr>
        <w:spacing w:after="0" w:line="300" w:lineRule="exact"/>
        <w:jc w:val="both"/>
        <w:rPr>
          <w:sz w:val="24"/>
          <w:szCs w:val="24"/>
        </w:rPr>
      </w:pPr>
      <w:r w:rsidRPr="0065523F">
        <w:rPr>
          <w:sz w:val="24"/>
          <w:szCs w:val="24"/>
        </w:rPr>
        <w:t xml:space="preserve">APEAL, the Association of European Producers of Steel for Packaging, </w:t>
      </w:r>
      <w:r w:rsidR="00651612" w:rsidRPr="0065523F">
        <w:rPr>
          <w:sz w:val="24"/>
          <w:szCs w:val="24"/>
        </w:rPr>
        <w:t xml:space="preserve">welcomes the decision of the </w:t>
      </w:r>
      <w:r w:rsidR="002D2C39" w:rsidRPr="0065523F">
        <w:rPr>
          <w:sz w:val="24"/>
          <w:szCs w:val="24"/>
        </w:rPr>
        <w:t xml:space="preserve">European Commission’s </w:t>
      </w:r>
      <w:r w:rsidR="00651612" w:rsidRPr="0065523F">
        <w:rPr>
          <w:sz w:val="24"/>
          <w:szCs w:val="24"/>
        </w:rPr>
        <w:t xml:space="preserve">REACH committee to </w:t>
      </w:r>
      <w:r w:rsidR="00A00DB5">
        <w:rPr>
          <w:sz w:val="24"/>
          <w:szCs w:val="24"/>
        </w:rPr>
        <w:t xml:space="preserve">agree to the </w:t>
      </w:r>
      <w:r w:rsidR="00651612" w:rsidRPr="0065523F">
        <w:rPr>
          <w:sz w:val="24"/>
          <w:szCs w:val="24"/>
        </w:rPr>
        <w:t>authoris</w:t>
      </w:r>
      <w:r w:rsidR="00A00DB5">
        <w:rPr>
          <w:sz w:val="24"/>
          <w:szCs w:val="24"/>
        </w:rPr>
        <w:t>ation for</w:t>
      </w:r>
      <w:r w:rsidR="00651612" w:rsidRPr="0065523F">
        <w:rPr>
          <w:sz w:val="24"/>
          <w:szCs w:val="24"/>
        </w:rPr>
        <w:t xml:space="preserve"> continued use</w:t>
      </w:r>
      <w:r w:rsidR="00F564B4">
        <w:rPr>
          <w:sz w:val="24"/>
          <w:szCs w:val="24"/>
        </w:rPr>
        <w:t>s</w:t>
      </w:r>
      <w:r w:rsidR="00651612" w:rsidRPr="0065523F">
        <w:rPr>
          <w:sz w:val="24"/>
          <w:szCs w:val="24"/>
        </w:rPr>
        <w:t xml:space="preserve"> of chromium trioxide</w:t>
      </w:r>
      <w:r w:rsidRPr="0065523F">
        <w:rPr>
          <w:sz w:val="24"/>
          <w:szCs w:val="24"/>
        </w:rPr>
        <w:t xml:space="preserve"> </w:t>
      </w:r>
      <w:r w:rsidR="00651612" w:rsidRPr="0065523F">
        <w:rPr>
          <w:sz w:val="24"/>
          <w:szCs w:val="24"/>
        </w:rPr>
        <w:t>for the passivation of tinplated steel (ETP)</w:t>
      </w:r>
      <w:r w:rsidR="00F564B4">
        <w:rPr>
          <w:sz w:val="24"/>
          <w:szCs w:val="24"/>
        </w:rPr>
        <w:t xml:space="preserve">, </w:t>
      </w:r>
      <w:r w:rsidR="006E2C27">
        <w:rPr>
          <w:sz w:val="24"/>
          <w:szCs w:val="24"/>
        </w:rPr>
        <w:t>as well as</w:t>
      </w:r>
      <w:r w:rsidR="007218F6">
        <w:rPr>
          <w:sz w:val="24"/>
          <w:szCs w:val="24"/>
        </w:rPr>
        <w:t>,</w:t>
      </w:r>
      <w:r w:rsidR="006E2C27">
        <w:rPr>
          <w:sz w:val="24"/>
          <w:szCs w:val="24"/>
        </w:rPr>
        <w:t xml:space="preserve"> </w:t>
      </w:r>
      <w:r w:rsidR="00F564B4">
        <w:rPr>
          <w:sz w:val="24"/>
          <w:szCs w:val="24"/>
        </w:rPr>
        <w:t>for the manufacture Tin</w:t>
      </w:r>
      <w:r w:rsidR="00363D48">
        <w:rPr>
          <w:sz w:val="24"/>
          <w:szCs w:val="24"/>
        </w:rPr>
        <w:t>-</w:t>
      </w:r>
      <w:r w:rsidR="00F564B4">
        <w:rPr>
          <w:sz w:val="24"/>
          <w:szCs w:val="24"/>
        </w:rPr>
        <w:t>Free Steel / Electrolytic Chromium Coated Steel (ECCS)</w:t>
      </w:r>
      <w:r w:rsidR="00651612" w:rsidRPr="0065523F">
        <w:rPr>
          <w:sz w:val="24"/>
          <w:szCs w:val="24"/>
        </w:rPr>
        <w:t>.</w:t>
      </w:r>
    </w:p>
    <w:p w14:paraId="6E274D69" w14:textId="77777777" w:rsidR="00391472" w:rsidRPr="0065523F" w:rsidRDefault="00391472" w:rsidP="006E2C27">
      <w:pPr>
        <w:spacing w:after="0" w:line="300" w:lineRule="exact"/>
        <w:jc w:val="both"/>
        <w:rPr>
          <w:sz w:val="24"/>
          <w:szCs w:val="24"/>
        </w:rPr>
      </w:pPr>
    </w:p>
    <w:p w14:paraId="2633D952" w14:textId="29BBF3A1" w:rsidR="002D2C39" w:rsidRPr="0065523F" w:rsidRDefault="002D2C39" w:rsidP="006E2C27">
      <w:pPr>
        <w:spacing w:after="120" w:line="259" w:lineRule="auto"/>
        <w:jc w:val="both"/>
        <w:rPr>
          <w:sz w:val="24"/>
          <w:szCs w:val="24"/>
        </w:rPr>
      </w:pPr>
      <w:r w:rsidRPr="0065523F">
        <w:rPr>
          <w:sz w:val="24"/>
          <w:szCs w:val="24"/>
        </w:rPr>
        <w:t>C</w:t>
      </w:r>
      <w:r w:rsidR="00391472" w:rsidRPr="0065523F">
        <w:rPr>
          <w:sz w:val="24"/>
          <w:szCs w:val="24"/>
        </w:rPr>
        <w:t>hromium trioxide is u</w:t>
      </w:r>
      <w:r w:rsidR="00651612" w:rsidRPr="0065523F">
        <w:rPr>
          <w:sz w:val="24"/>
          <w:szCs w:val="24"/>
        </w:rPr>
        <w:t xml:space="preserve">sed globally in the </w:t>
      </w:r>
      <w:r w:rsidR="00D5624E">
        <w:rPr>
          <w:sz w:val="24"/>
          <w:szCs w:val="24"/>
        </w:rPr>
        <w:t>steel for packaging</w:t>
      </w:r>
      <w:r w:rsidR="00651612" w:rsidRPr="0065523F">
        <w:rPr>
          <w:sz w:val="24"/>
          <w:szCs w:val="24"/>
        </w:rPr>
        <w:t xml:space="preserve"> industry as a treatment to stabilise the surface of tinplated steel</w:t>
      </w:r>
      <w:r w:rsidR="00F564B4">
        <w:rPr>
          <w:sz w:val="24"/>
          <w:szCs w:val="24"/>
        </w:rPr>
        <w:t>, and to manufacture ECCS</w:t>
      </w:r>
      <w:r w:rsidR="006E2C27">
        <w:rPr>
          <w:sz w:val="24"/>
          <w:szCs w:val="24"/>
        </w:rPr>
        <w:t>.</w:t>
      </w:r>
      <w:r w:rsidRPr="0065523F">
        <w:rPr>
          <w:rFonts w:ascii="Helvetica" w:hAnsi="Helvetica" w:cs="Helvetica"/>
          <w:color w:val="585858"/>
          <w:sz w:val="20"/>
          <w:szCs w:val="20"/>
          <w:shd w:val="clear" w:color="auto" w:fill="FFFFFF"/>
        </w:rPr>
        <w:t xml:space="preserve"> </w:t>
      </w:r>
      <w:r w:rsidRPr="0065523F">
        <w:rPr>
          <w:sz w:val="24"/>
          <w:szCs w:val="24"/>
        </w:rPr>
        <w:t xml:space="preserve">It is </w:t>
      </w:r>
      <w:r w:rsidR="0065523F" w:rsidRPr="0065523F">
        <w:rPr>
          <w:sz w:val="24"/>
          <w:szCs w:val="24"/>
        </w:rPr>
        <w:t xml:space="preserve">not </w:t>
      </w:r>
      <w:r w:rsidRPr="0065523F">
        <w:rPr>
          <w:sz w:val="24"/>
          <w:szCs w:val="24"/>
        </w:rPr>
        <w:t xml:space="preserve">present on </w:t>
      </w:r>
      <w:r w:rsidR="0065523F" w:rsidRPr="0065523F">
        <w:rPr>
          <w:sz w:val="24"/>
          <w:szCs w:val="24"/>
        </w:rPr>
        <w:t xml:space="preserve">the </w:t>
      </w:r>
      <w:r w:rsidRPr="0065523F">
        <w:rPr>
          <w:sz w:val="24"/>
          <w:szCs w:val="24"/>
        </w:rPr>
        <w:t xml:space="preserve">surface of </w:t>
      </w:r>
      <w:r w:rsidR="007218F6">
        <w:rPr>
          <w:sz w:val="24"/>
          <w:szCs w:val="24"/>
        </w:rPr>
        <w:t xml:space="preserve">the </w:t>
      </w:r>
      <w:r w:rsidRPr="0065523F">
        <w:rPr>
          <w:sz w:val="24"/>
          <w:szCs w:val="24"/>
        </w:rPr>
        <w:t xml:space="preserve">final </w:t>
      </w:r>
      <w:r w:rsidR="007218F6">
        <w:rPr>
          <w:sz w:val="24"/>
          <w:szCs w:val="24"/>
        </w:rPr>
        <w:t xml:space="preserve">material </w:t>
      </w:r>
      <w:r w:rsidR="007218F6" w:rsidRPr="00724F1C">
        <w:rPr>
          <w:sz w:val="24"/>
          <w:szCs w:val="24"/>
        </w:rPr>
        <w:t>used for the manufacture of</w:t>
      </w:r>
      <w:r w:rsidRPr="00724F1C">
        <w:rPr>
          <w:sz w:val="24"/>
          <w:szCs w:val="24"/>
        </w:rPr>
        <w:t xml:space="preserve"> steel cans.</w:t>
      </w:r>
    </w:p>
    <w:p w14:paraId="3A061B85" w14:textId="5539BEA1" w:rsidR="00651612" w:rsidRPr="0065523F" w:rsidRDefault="006E2C27" w:rsidP="006E2C27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Nevertheless</w:t>
      </w:r>
      <w:r w:rsidR="00391472" w:rsidRPr="0065523F">
        <w:rPr>
          <w:sz w:val="24"/>
          <w:szCs w:val="24"/>
        </w:rPr>
        <w:t xml:space="preserve">, as a substance on the </w:t>
      </w:r>
      <w:r w:rsidR="002D2C39" w:rsidRPr="0065523F">
        <w:rPr>
          <w:sz w:val="24"/>
          <w:szCs w:val="24"/>
        </w:rPr>
        <w:t>a</w:t>
      </w:r>
      <w:r w:rsidR="00391472" w:rsidRPr="0065523F">
        <w:rPr>
          <w:sz w:val="24"/>
          <w:szCs w:val="24"/>
        </w:rPr>
        <w:t xml:space="preserve">uthorisation list of </w:t>
      </w:r>
      <w:r w:rsidR="00D94ED8" w:rsidRPr="0065523F">
        <w:rPr>
          <w:sz w:val="24"/>
          <w:szCs w:val="24"/>
        </w:rPr>
        <w:t xml:space="preserve">the </w:t>
      </w:r>
      <w:r w:rsidR="00391472" w:rsidRPr="0065523F">
        <w:rPr>
          <w:sz w:val="24"/>
          <w:szCs w:val="24"/>
        </w:rPr>
        <w:t xml:space="preserve">REACH Regulation, any and all uses of </w:t>
      </w:r>
      <w:r w:rsidR="00985C16">
        <w:rPr>
          <w:sz w:val="24"/>
          <w:szCs w:val="24"/>
        </w:rPr>
        <w:t>c</w:t>
      </w:r>
      <w:r w:rsidR="00985C16" w:rsidRPr="0065523F">
        <w:rPr>
          <w:sz w:val="24"/>
          <w:szCs w:val="24"/>
        </w:rPr>
        <w:t xml:space="preserve">hromium </w:t>
      </w:r>
      <w:r w:rsidR="00391472" w:rsidRPr="0065523F">
        <w:rPr>
          <w:sz w:val="24"/>
          <w:szCs w:val="24"/>
        </w:rPr>
        <w:t xml:space="preserve">trioxide within the EEA require an </w:t>
      </w:r>
      <w:r w:rsidR="00BB4A08">
        <w:rPr>
          <w:sz w:val="24"/>
          <w:szCs w:val="24"/>
        </w:rPr>
        <w:t>a</w:t>
      </w:r>
      <w:r w:rsidR="00391472" w:rsidRPr="0065523F">
        <w:rPr>
          <w:sz w:val="24"/>
          <w:szCs w:val="24"/>
        </w:rPr>
        <w:t>uthorisation</w:t>
      </w:r>
      <w:r w:rsidR="00CE0C6B">
        <w:rPr>
          <w:sz w:val="24"/>
          <w:szCs w:val="24"/>
        </w:rPr>
        <w:t>,</w:t>
      </w:r>
      <w:r w:rsidR="00391472" w:rsidRPr="0065523F">
        <w:rPr>
          <w:sz w:val="24"/>
          <w:szCs w:val="24"/>
        </w:rPr>
        <w:t xml:space="preserve"> from the European Commission</w:t>
      </w:r>
      <w:r w:rsidR="00CE0C6B">
        <w:rPr>
          <w:sz w:val="24"/>
          <w:szCs w:val="24"/>
        </w:rPr>
        <w:t>,</w:t>
      </w:r>
      <w:r w:rsidR="00391472" w:rsidRPr="0065523F">
        <w:rPr>
          <w:sz w:val="24"/>
          <w:szCs w:val="24"/>
        </w:rPr>
        <w:t xml:space="preserve"> </w:t>
      </w:r>
      <w:r w:rsidR="00CE0C6B">
        <w:rPr>
          <w:sz w:val="24"/>
          <w:szCs w:val="24"/>
        </w:rPr>
        <w:t xml:space="preserve">in order </w:t>
      </w:r>
      <w:r w:rsidR="00985C16">
        <w:rPr>
          <w:sz w:val="24"/>
          <w:szCs w:val="24"/>
        </w:rPr>
        <w:t>to continue</w:t>
      </w:r>
      <w:r w:rsidR="00391472" w:rsidRPr="0065523F">
        <w:rPr>
          <w:sz w:val="24"/>
          <w:szCs w:val="24"/>
        </w:rPr>
        <w:t xml:space="preserve"> after the</w:t>
      </w:r>
      <w:r w:rsidR="002D2C39" w:rsidRPr="0065523F">
        <w:rPr>
          <w:sz w:val="24"/>
          <w:szCs w:val="24"/>
        </w:rPr>
        <w:t xml:space="preserve"> REACH</w:t>
      </w:r>
      <w:r w:rsidR="00391472" w:rsidRPr="0065523F">
        <w:rPr>
          <w:sz w:val="24"/>
          <w:szCs w:val="24"/>
        </w:rPr>
        <w:t xml:space="preserve"> Sunset Date.</w:t>
      </w:r>
      <w:r w:rsidR="00391472" w:rsidRPr="0065523F">
        <w:rPr>
          <w:sz w:val="24"/>
          <w:szCs w:val="24"/>
          <w:vertAlign w:val="superscript"/>
        </w:rPr>
        <w:footnoteReference w:id="1"/>
      </w:r>
      <w:r w:rsidR="00391472" w:rsidRPr="0065523F">
        <w:rPr>
          <w:sz w:val="24"/>
          <w:szCs w:val="24"/>
          <w:vertAlign w:val="superscript"/>
        </w:rPr>
        <w:t xml:space="preserve"> </w:t>
      </w:r>
    </w:p>
    <w:p w14:paraId="5B9BCDCA" w14:textId="44E109ED" w:rsidR="000239E1" w:rsidRPr="0065523F" w:rsidRDefault="002D2C39" w:rsidP="006E2C27">
      <w:pPr>
        <w:spacing w:after="120" w:line="259" w:lineRule="auto"/>
        <w:jc w:val="both"/>
        <w:rPr>
          <w:sz w:val="24"/>
          <w:szCs w:val="24"/>
        </w:rPr>
      </w:pPr>
      <w:r w:rsidRPr="0065523F">
        <w:rPr>
          <w:sz w:val="24"/>
          <w:szCs w:val="24"/>
        </w:rPr>
        <w:t xml:space="preserve">The </w:t>
      </w:r>
      <w:r w:rsidR="00985C16">
        <w:rPr>
          <w:sz w:val="24"/>
          <w:szCs w:val="24"/>
        </w:rPr>
        <w:t>REACH Committee</w:t>
      </w:r>
      <w:r w:rsidR="00CE0C6B">
        <w:rPr>
          <w:sz w:val="24"/>
          <w:szCs w:val="24"/>
        </w:rPr>
        <w:t>,</w:t>
      </w:r>
      <w:r w:rsidR="006E2C27">
        <w:rPr>
          <w:sz w:val="24"/>
          <w:szCs w:val="24"/>
        </w:rPr>
        <w:t xml:space="preserve"> </w:t>
      </w:r>
      <w:r w:rsidR="00F564B4">
        <w:rPr>
          <w:sz w:val="24"/>
          <w:szCs w:val="24"/>
        </w:rPr>
        <w:t>assisting</w:t>
      </w:r>
      <w:r w:rsidR="00985C16">
        <w:rPr>
          <w:sz w:val="24"/>
          <w:szCs w:val="24"/>
        </w:rPr>
        <w:t xml:space="preserve"> the </w:t>
      </w:r>
      <w:r w:rsidR="00391472" w:rsidRPr="0065523F">
        <w:rPr>
          <w:sz w:val="24"/>
          <w:szCs w:val="24"/>
        </w:rPr>
        <w:t xml:space="preserve">European </w:t>
      </w:r>
      <w:r w:rsidRPr="0065523F">
        <w:rPr>
          <w:sz w:val="24"/>
          <w:szCs w:val="24"/>
        </w:rPr>
        <w:t>C</w:t>
      </w:r>
      <w:r w:rsidR="00391472" w:rsidRPr="0065523F">
        <w:rPr>
          <w:sz w:val="24"/>
          <w:szCs w:val="24"/>
        </w:rPr>
        <w:t>ommission</w:t>
      </w:r>
      <w:r w:rsidR="00A00DB5">
        <w:rPr>
          <w:sz w:val="24"/>
          <w:szCs w:val="24"/>
        </w:rPr>
        <w:t>,</w:t>
      </w:r>
      <w:r w:rsidR="00391472" w:rsidRPr="0065523F">
        <w:rPr>
          <w:sz w:val="24"/>
          <w:szCs w:val="24"/>
        </w:rPr>
        <w:t xml:space="preserve"> </w:t>
      </w:r>
      <w:r w:rsidR="00D5624E" w:rsidRPr="00D5624E">
        <w:rPr>
          <w:sz w:val="24"/>
          <w:szCs w:val="24"/>
        </w:rPr>
        <w:t>has on Friday 15</w:t>
      </w:r>
      <w:r w:rsidR="00D5624E" w:rsidRPr="00724F1C">
        <w:rPr>
          <w:sz w:val="24"/>
          <w:szCs w:val="24"/>
          <w:vertAlign w:val="superscript"/>
        </w:rPr>
        <w:t>th</w:t>
      </w:r>
      <w:r w:rsidR="00724F1C">
        <w:rPr>
          <w:sz w:val="24"/>
          <w:szCs w:val="24"/>
        </w:rPr>
        <w:t xml:space="preserve"> </w:t>
      </w:r>
      <w:r w:rsidR="00D5624E" w:rsidRPr="00D5624E">
        <w:rPr>
          <w:sz w:val="24"/>
          <w:szCs w:val="24"/>
        </w:rPr>
        <w:t xml:space="preserve">February </w:t>
      </w:r>
      <w:r w:rsidR="00F564B4">
        <w:rPr>
          <w:sz w:val="24"/>
          <w:szCs w:val="24"/>
        </w:rPr>
        <w:t>issued a favourable opinion</w:t>
      </w:r>
      <w:r w:rsidR="00985C16" w:rsidRPr="0065523F">
        <w:rPr>
          <w:sz w:val="24"/>
          <w:szCs w:val="24"/>
        </w:rPr>
        <w:t xml:space="preserve"> </w:t>
      </w:r>
      <w:r w:rsidR="00A00DB5" w:rsidRPr="00724F1C">
        <w:rPr>
          <w:sz w:val="24"/>
          <w:szCs w:val="24"/>
        </w:rPr>
        <w:t xml:space="preserve">agreeing with the draft </w:t>
      </w:r>
      <w:r w:rsidR="006E2C27" w:rsidRPr="00724F1C">
        <w:rPr>
          <w:sz w:val="24"/>
          <w:szCs w:val="24"/>
        </w:rPr>
        <w:t>d</w:t>
      </w:r>
      <w:r w:rsidR="00A00DB5" w:rsidRPr="00724F1C">
        <w:rPr>
          <w:sz w:val="24"/>
          <w:szCs w:val="24"/>
        </w:rPr>
        <w:t>ecision of the Commission</w:t>
      </w:r>
      <w:r w:rsidR="006E2C27" w:rsidRPr="00724F1C">
        <w:rPr>
          <w:sz w:val="24"/>
          <w:szCs w:val="24"/>
        </w:rPr>
        <w:t xml:space="preserve"> </w:t>
      </w:r>
      <w:r w:rsidR="00391472" w:rsidRPr="00724F1C">
        <w:rPr>
          <w:sz w:val="24"/>
          <w:szCs w:val="24"/>
        </w:rPr>
        <w:t>that the use</w:t>
      </w:r>
      <w:r w:rsidR="00F564B4" w:rsidRPr="00724F1C">
        <w:rPr>
          <w:sz w:val="24"/>
          <w:szCs w:val="24"/>
        </w:rPr>
        <w:t>s</w:t>
      </w:r>
      <w:r w:rsidR="00391472" w:rsidRPr="00724F1C">
        <w:rPr>
          <w:sz w:val="24"/>
          <w:szCs w:val="24"/>
        </w:rPr>
        <w:t xml:space="preserve"> covering ETP</w:t>
      </w:r>
      <w:r w:rsidR="00F564B4" w:rsidRPr="00724F1C">
        <w:rPr>
          <w:sz w:val="24"/>
          <w:szCs w:val="24"/>
        </w:rPr>
        <w:t xml:space="preserve"> and ECCS</w:t>
      </w:r>
      <w:r w:rsidR="00391472" w:rsidRPr="00724F1C">
        <w:rPr>
          <w:sz w:val="24"/>
          <w:szCs w:val="24"/>
        </w:rPr>
        <w:t xml:space="preserve"> be granted a</w:t>
      </w:r>
      <w:r w:rsidR="006E2C27" w:rsidRPr="00724F1C">
        <w:rPr>
          <w:sz w:val="24"/>
          <w:szCs w:val="24"/>
        </w:rPr>
        <w:t>n Authorisation with a</w:t>
      </w:r>
      <w:r w:rsidR="00391472" w:rsidRPr="00724F1C">
        <w:rPr>
          <w:sz w:val="24"/>
          <w:szCs w:val="24"/>
        </w:rPr>
        <w:t xml:space="preserve"> </w:t>
      </w:r>
      <w:r w:rsidR="00724F1C" w:rsidRPr="00724F1C">
        <w:rPr>
          <w:sz w:val="24"/>
          <w:szCs w:val="24"/>
        </w:rPr>
        <w:t>4-year</w:t>
      </w:r>
      <w:r w:rsidR="00391472" w:rsidRPr="00724F1C">
        <w:rPr>
          <w:sz w:val="24"/>
          <w:szCs w:val="24"/>
        </w:rPr>
        <w:t xml:space="preserve"> review period</w:t>
      </w:r>
      <w:r w:rsidR="006E2C27" w:rsidRPr="00724F1C">
        <w:rPr>
          <w:sz w:val="24"/>
          <w:szCs w:val="24"/>
        </w:rPr>
        <w:t xml:space="preserve">. This </w:t>
      </w:r>
      <w:r w:rsidR="00724F1C">
        <w:rPr>
          <w:sz w:val="24"/>
          <w:szCs w:val="24"/>
        </w:rPr>
        <w:t>r</w:t>
      </w:r>
      <w:r w:rsidR="006E2C27" w:rsidRPr="00724F1C">
        <w:rPr>
          <w:sz w:val="24"/>
          <w:szCs w:val="24"/>
        </w:rPr>
        <w:t xml:space="preserve">eview </w:t>
      </w:r>
      <w:r w:rsidR="00724F1C">
        <w:rPr>
          <w:sz w:val="24"/>
          <w:szCs w:val="24"/>
        </w:rPr>
        <w:t>p</w:t>
      </w:r>
      <w:r w:rsidR="006E2C27" w:rsidRPr="00724F1C">
        <w:rPr>
          <w:sz w:val="24"/>
          <w:szCs w:val="24"/>
        </w:rPr>
        <w:t>eriod will</w:t>
      </w:r>
      <w:r w:rsidR="00391472" w:rsidRPr="00724F1C">
        <w:rPr>
          <w:sz w:val="24"/>
          <w:szCs w:val="24"/>
        </w:rPr>
        <w:t xml:space="preserve"> </w:t>
      </w:r>
      <w:r w:rsidR="00044FE6" w:rsidRPr="00724F1C">
        <w:rPr>
          <w:sz w:val="24"/>
          <w:szCs w:val="24"/>
        </w:rPr>
        <w:t>commenc</w:t>
      </w:r>
      <w:r w:rsidR="006E2C27" w:rsidRPr="00724F1C">
        <w:rPr>
          <w:sz w:val="24"/>
          <w:szCs w:val="24"/>
        </w:rPr>
        <w:t>e</w:t>
      </w:r>
      <w:r w:rsidR="00391472" w:rsidRPr="00724F1C">
        <w:rPr>
          <w:sz w:val="24"/>
          <w:szCs w:val="24"/>
        </w:rPr>
        <w:t xml:space="preserve"> from </w:t>
      </w:r>
      <w:r w:rsidR="006E2C27" w:rsidRPr="00724F1C">
        <w:rPr>
          <w:sz w:val="24"/>
          <w:szCs w:val="24"/>
        </w:rPr>
        <w:t xml:space="preserve">the date of adoption of the </w:t>
      </w:r>
      <w:r w:rsidR="00CE0C6B" w:rsidRPr="00724F1C">
        <w:rPr>
          <w:sz w:val="24"/>
          <w:szCs w:val="24"/>
        </w:rPr>
        <w:t xml:space="preserve">agreed </w:t>
      </w:r>
      <w:r w:rsidR="006E2C27" w:rsidRPr="00724F1C">
        <w:rPr>
          <w:sz w:val="24"/>
          <w:szCs w:val="24"/>
        </w:rPr>
        <w:t>decision</w:t>
      </w:r>
      <w:r w:rsidR="00044FE6" w:rsidRPr="00724F1C">
        <w:rPr>
          <w:sz w:val="24"/>
          <w:szCs w:val="24"/>
        </w:rPr>
        <w:t xml:space="preserve"> </w:t>
      </w:r>
      <w:r w:rsidR="006E2C27" w:rsidRPr="00724F1C">
        <w:rPr>
          <w:sz w:val="24"/>
          <w:szCs w:val="24"/>
        </w:rPr>
        <w:t xml:space="preserve">and </w:t>
      </w:r>
      <w:r w:rsidR="00D5624E" w:rsidRPr="00724F1C">
        <w:rPr>
          <w:sz w:val="24"/>
          <w:szCs w:val="24"/>
        </w:rPr>
        <w:t>should expire around March</w:t>
      </w:r>
      <w:r w:rsidR="00391472" w:rsidRPr="00724F1C">
        <w:rPr>
          <w:sz w:val="24"/>
          <w:szCs w:val="24"/>
        </w:rPr>
        <w:t xml:space="preserve"> 2023.</w:t>
      </w:r>
      <w:r w:rsidR="00985C16">
        <w:rPr>
          <w:sz w:val="24"/>
          <w:szCs w:val="24"/>
        </w:rPr>
        <w:t xml:space="preserve"> The Commission is expected to publish </w:t>
      </w:r>
      <w:r w:rsidR="00CE0C6B">
        <w:rPr>
          <w:sz w:val="24"/>
          <w:szCs w:val="24"/>
        </w:rPr>
        <w:t>its</w:t>
      </w:r>
      <w:r w:rsidR="000F599E">
        <w:rPr>
          <w:sz w:val="24"/>
          <w:szCs w:val="24"/>
        </w:rPr>
        <w:t xml:space="preserve"> corresponding </w:t>
      </w:r>
      <w:r w:rsidR="00BB4A08">
        <w:rPr>
          <w:sz w:val="24"/>
          <w:szCs w:val="24"/>
        </w:rPr>
        <w:t>d</w:t>
      </w:r>
      <w:r w:rsidR="000F599E">
        <w:rPr>
          <w:sz w:val="24"/>
          <w:szCs w:val="24"/>
        </w:rPr>
        <w:t>ecision in the coming weeks.</w:t>
      </w:r>
    </w:p>
    <w:p w14:paraId="15A47AE4" w14:textId="2B608996" w:rsidR="00E02681" w:rsidRPr="00E02681" w:rsidRDefault="00CE0C6B" w:rsidP="00E02681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Nonetheless, </w:t>
      </w:r>
      <w:r w:rsidR="00391472" w:rsidRPr="0065523F">
        <w:rPr>
          <w:sz w:val="24"/>
          <w:szCs w:val="24"/>
        </w:rPr>
        <w:t xml:space="preserve">APEAL members are </w:t>
      </w:r>
      <w:r w:rsidR="002D2C39" w:rsidRPr="0065523F">
        <w:rPr>
          <w:sz w:val="24"/>
          <w:szCs w:val="24"/>
        </w:rPr>
        <w:t xml:space="preserve">committed </w:t>
      </w:r>
      <w:r w:rsidR="00391472" w:rsidRPr="0065523F">
        <w:rPr>
          <w:sz w:val="24"/>
          <w:szCs w:val="24"/>
        </w:rPr>
        <w:t xml:space="preserve">to </w:t>
      </w:r>
      <w:r>
        <w:rPr>
          <w:sz w:val="24"/>
          <w:szCs w:val="24"/>
        </w:rPr>
        <w:t>the implementation of</w:t>
      </w:r>
      <w:r w:rsidR="00391472" w:rsidRPr="0065523F">
        <w:rPr>
          <w:sz w:val="24"/>
          <w:szCs w:val="24"/>
        </w:rPr>
        <w:t xml:space="preserve"> </w:t>
      </w:r>
      <w:r w:rsidR="00DC7E2A">
        <w:rPr>
          <w:sz w:val="24"/>
          <w:szCs w:val="24"/>
        </w:rPr>
        <w:t xml:space="preserve">CFPA, </w:t>
      </w:r>
      <w:r w:rsidR="00391472" w:rsidRPr="0065523F">
        <w:rPr>
          <w:sz w:val="24"/>
          <w:szCs w:val="24"/>
        </w:rPr>
        <w:t>a Chromium Free Passivation Alternative</w:t>
      </w:r>
      <w:r w:rsidR="00DC7E2A">
        <w:rPr>
          <w:sz w:val="24"/>
          <w:szCs w:val="24"/>
        </w:rPr>
        <w:t xml:space="preserve"> for tinplate</w:t>
      </w:r>
      <w:r w:rsidR="002D2C39" w:rsidRPr="0065523F">
        <w:rPr>
          <w:sz w:val="24"/>
          <w:szCs w:val="24"/>
        </w:rPr>
        <w:t xml:space="preserve"> in Europe</w:t>
      </w:r>
      <w:r w:rsidR="00044FE6" w:rsidRPr="0065523F">
        <w:rPr>
          <w:sz w:val="24"/>
          <w:szCs w:val="24"/>
        </w:rPr>
        <w:t xml:space="preserve">. </w:t>
      </w:r>
      <w:r w:rsidR="00E02681" w:rsidRPr="00E02681">
        <w:rPr>
          <w:sz w:val="24"/>
          <w:szCs w:val="24"/>
        </w:rPr>
        <w:t xml:space="preserve">The decision will safeguard APEAL members’ supply chains and allow additional time for </w:t>
      </w:r>
      <w:r w:rsidR="00DC7E2A">
        <w:rPr>
          <w:sz w:val="24"/>
          <w:szCs w:val="24"/>
        </w:rPr>
        <w:t xml:space="preserve">this, </w:t>
      </w:r>
      <w:r w:rsidR="00E02681" w:rsidRPr="00724F1C">
        <w:rPr>
          <w:sz w:val="24"/>
          <w:szCs w:val="24"/>
        </w:rPr>
        <w:t>maintain</w:t>
      </w:r>
      <w:r w:rsidR="00DC7E2A" w:rsidRPr="00724F1C">
        <w:rPr>
          <w:sz w:val="24"/>
          <w:szCs w:val="24"/>
        </w:rPr>
        <w:t>ing</w:t>
      </w:r>
      <w:r w:rsidR="00E02681" w:rsidRPr="00724F1C">
        <w:rPr>
          <w:sz w:val="24"/>
          <w:szCs w:val="24"/>
        </w:rPr>
        <w:t xml:space="preserve"> the high quality of tinplate </w:t>
      </w:r>
      <w:r w:rsidR="00E02681" w:rsidRPr="00E02681">
        <w:rPr>
          <w:sz w:val="24"/>
          <w:szCs w:val="24"/>
        </w:rPr>
        <w:t xml:space="preserve">while ensuring continued consumer safety.  </w:t>
      </w:r>
    </w:p>
    <w:p w14:paraId="7963E1A8" w14:textId="27FD48D9" w:rsidR="00A96104" w:rsidRPr="0065523F" w:rsidRDefault="00A96104" w:rsidP="006E2C27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3AE06554" w14:textId="3F206210" w:rsidR="00237102" w:rsidRPr="0065523F" w:rsidRDefault="00237102" w:rsidP="006E2C27">
      <w:p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65523F">
        <w:rPr>
          <w:rFonts w:asciiTheme="minorHAnsi" w:hAnsiTheme="minorHAnsi"/>
          <w:b/>
          <w:sz w:val="24"/>
          <w:szCs w:val="24"/>
        </w:rPr>
        <w:t>ENDS</w:t>
      </w:r>
    </w:p>
    <w:p w14:paraId="07D4D329" w14:textId="77777777" w:rsidR="00A96104" w:rsidRPr="0065523F" w:rsidRDefault="00A96104" w:rsidP="006E2C2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EA1D3A" w:rsidRPr="0065523F" w14:paraId="7DC1360F" w14:textId="77777777" w:rsidTr="0068354F">
        <w:trPr>
          <w:trHeight w:val="2220"/>
        </w:trPr>
        <w:tc>
          <w:tcPr>
            <w:tcW w:w="5542" w:type="dxa"/>
          </w:tcPr>
          <w:p w14:paraId="0AB57961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 w:rsidRPr="0065523F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lastRenderedPageBreak/>
              <w:t>Media enquiries:</w:t>
            </w:r>
          </w:p>
          <w:p w14:paraId="6EFE3B87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2A3E9A36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Michael Be</w:t>
            </w:r>
            <w:r w:rsidRPr="0065523F">
              <w:rPr>
                <w:sz w:val="24"/>
                <w:szCs w:val="24"/>
              </w:rPr>
              <w:t>n</w:t>
            </w: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nett</w:t>
            </w:r>
          </w:p>
          <w:p w14:paraId="3EAEE04F" w14:textId="77777777" w:rsidR="0052599A" w:rsidRPr="0065523F" w:rsidRDefault="00031A14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Pelican Communications </w:t>
            </w:r>
          </w:p>
          <w:p w14:paraId="55E0169B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Email: </w:t>
            </w:r>
            <w:hyperlink r:id="rId8" w:history="1">
              <w:r w:rsidR="00031A14" w:rsidRPr="0065523F">
                <w:rPr>
                  <w:rStyle w:val="Hyperlink"/>
                  <w:sz w:val="24"/>
                  <w:szCs w:val="24"/>
                </w:rPr>
                <w:t>michael.bennett@pelicomms.co.uk</w:t>
              </w:r>
            </w:hyperlink>
            <w:r w:rsidR="00031A14" w:rsidRPr="0065523F">
              <w:rPr>
                <w:sz w:val="24"/>
                <w:szCs w:val="24"/>
              </w:rPr>
              <w:t xml:space="preserve"> </w:t>
            </w: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 </w:t>
            </w:r>
          </w:p>
          <w:p w14:paraId="10D02555" w14:textId="77777777" w:rsidR="0052599A" w:rsidRPr="0065523F" w:rsidRDefault="0052599A" w:rsidP="006E2C27">
            <w:pPr>
              <w:pStyle w:val="FootnoteText"/>
              <w:jc w:val="both"/>
              <w:rPr>
                <w:sz w:val="24"/>
                <w:szCs w:val="24"/>
              </w:rPr>
            </w:pPr>
          </w:p>
          <w:p w14:paraId="1C34EC5F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  <w:tc>
          <w:tcPr>
            <w:tcW w:w="4166" w:type="dxa"/>
          </w:tcPr>
          <w:p w14:paraId="355CBEB8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 w:rsidRPr="0065523F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 xml:space="preserve">APEAL: </w:t>
            </w:r>
          </w:p>
          <w:p w14:paraId="420D7A4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1A17C83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Patricia Mobbs</w:t>
            </w:r>
          </w:p>
          <w:p w14:paraId="1D67923C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Communications Manager</w:t>
            </w:r>
          </w:p>
          <w:p w14:paraId="2961D580" w14:textId="77777777" w:rsidR="0052599A" w:rsidRPr="0065523F" w:rsidRDefault="0052599A" w:rsidP="006E2C27">
            <w:pPr>
              <w:pStyle w:val="FootnoteText"/>
              <w:jc w:val="both"/>
              <w:rPr>
                <w:sz w:val="24"/>
                <w:szCs w:val="24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E-mail: </w:t>
            </w:r>
            <w:hyperlink r:id="rId9" w:history="1">
              <w:r w:rsidRPr="0065523F">
                <w:rPr>
                  <w:rStyle w:val="FootnoteReference"/>
                  <w:sz w:val="24"/>
                  <w:szCs w:val="24"/>
                  <w:vertAlign w:val="baseline"/>
                </w:rPr>
                <w:t>p.mobbs@apeal.be</w:t>
              </w:r>
            </w:hyperlink>
          </w:p>
          <w:p w14:paraId="294850D7" w14:textId="77777777" w:rsidR="0052599A" w:rsidRPr="0065523F" w:rsidRDefault="00C011DD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hyperlink r:id="rId10" w:history="1">
              <w:r w:rsidR="0052599A" w:rsidRPr="0065523F">
                <w:rPr>
                  <w:rStyle w:val="Hyperlink"/>
                  <w:color w:val="auto"/>
                  <w:sz w:val="24"/>
                  <w:szCs w:val="24"/>
                </w:rPr>
                <w:t>www.apeal.org</w:t>
              </w:r>
            </w:hyperlink>
            <w:r w:rsidR="0052599A"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  </w:t>
            </w:r>
          </w:p>
          <w:p w14:paraId="56520A91" w14:textId="77777777" w:rsidR="0052599A" w:rsidRPr="0065523F" w:rsidRDefault="00C011DD" w:rsidP="006E2C27">
            <w:pPr>
              <w:pStyle w:val="FootnoteText"/>
              <w:jc w:val="both"/>
              <w:rPr>
                <w:sz w:val="24"/>
                <w:szCs w:val="24"/>
              </w:rPr>
            </w:pPr>
            <w:hyperlink r:id="rId11" w:history="1">
              <w:r w:rsidR="0052599A" w:rsidRPr="0065523F">
                <w:rPr>
                  <w:rStyle w:val="Hyperlink"/>
                  <w:color w:val="auto"/>
                  <w:sz w:val="24"/>
                  <w:szCs w:val="24"/>
                </w:rPr>
                <w:t>www.steelforpackaging.org</w:t>
              </w:r>
            </w:hyperlink>
          </w:p>
          <w:p w14:paraId="246C3AF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671DCFFE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</w:tr>
    </w:tbl>
    <w:p w14:paraId="7843E823" w14:textId="77777777" w:rsidR="00C76250" w:rsidRPr="0065523F" w:rsidRDefault="00C76250" w:rsidP="006E2C27">
      <w:pPr>
        <w:pStyle w:val="FootnoteText"/>
        <w:jc w:val="both"/>
        <w:rPr>
          <w:rFonts w:cs="Calibri"/>
          <w:b/>
        </w:rPr>
      </w:pPr>
    </w:p>
    <w:p w14:paraId="4EDFA8A2" w14:textId="761BB3F9" w:rsidR="0052599A" w:rsidRPr="0065523F" w:rsidRDefault="0052599A" w:rsidP="006E2C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5523F">
        <w:rPr>
          <w:rFonts w:cs="Calibri"/>
          <w:b/>
          <w:sz w:val="20"/>
          <w:szCs w:val="20"/>
        </w:rPr>
        <w:t>About APEAL</w:t>
      </w:r>
    </w:p>
    <w:p w14:paraId="75552E02" w14:textId="77777777" w:rsidR="0052599A" w:rsidRPr="0065523F" w:rsidRDefault="0052599A" w:rsidP="006E2C27">
      <w:pPr>
        <w:pStyle w:val="FootnoteText"/>
        <w:jc w:val="both"/>
        <w:rPr>
          <w:vertAlign w:val="superscript"/>
        </w:rPr>
      </w:pPr>
      <w:r w:rsidRPr="0065523F">
        <w:rPr>
          <w:rFonts w:cs="Calibri"/>
        </w:rPr>
        <w:t>APEAL - the Association of European Producers of Steel for Packaging is a federation of four multi-national producers of steel for packaging (Arcelo</w:t>
      </w:r>
      <w:r w:rsidR="00B778FB" w:rsidRPr="0065523F">
        <w:rPr>
          <w:rFonts w:cs="Calibri"/>
        </w:rPr>
        <w:t xml:space="preserve">rMittal, Tata Steel Packaging, </w:t>
      </w:r>
      <w:proofErr w:type="spellStart"/>
      <w:r w:rsidR="00B778FB" w:rsidRPr="0065523F">
        <w:rPr>
          <w:rFonts w:cs="Calibri"/>
        </w:rPr>
        <w:t>thyssenk</w:t>
      </w:r>
      <w:r w:rsidRPr="0065523F">
        <w:rPr>
          <w:rFonts w:cs="Calibri"/>
        </w:rPr>
        <w:t>rupp</w:t>
      </w:r>
      <w:proofErr w:type="spellEnd"/>
      <w:r w:rsidRPr="0065523F">
        <w:rPr>
          <w:rFonts w:cs="Calibri"/>
        </w:rPr>
        <w:t xml:space="preserve"> </w:t>
      </w:r>
      <w:proofErr w:type="spellStart"/>
      <w:r w:rsidRPr="0065523F">
        <w:rPr>
          <w:rFonts w:cs="Calibri"/>
        </w:rPr>
        <w:t>Rasselstein</w:t>
      </w:r>
      <w:proofErr w:type="spellEnd"/>
      <w:r w:rsidRPr="0065523F">
        <w:rPr>
          <w:rFonts w:cs="Calibri"/>
        </w:rPr>
        <w:t xml:space="preserve">, U.S. Steel </w:t>
      </w:r>
      <w:proofErr w:type="spellStart"/>
      <w:r w:rsidRPr="0065523F">
        <w:rPr>
          <w:rFonts w:cs="Calibri"/>
        </w:rPr>
        <w:t>Košice</w:t>
      </w:r>
      <w:proofErr w:type="spellEnd"/>
      <w:r w:rsidRPr="0065523F">
        <w:rPr>
          <w:rFonts w:cs="Calibri"/>
        </w:rPr>
        <w:t xml:space="preserve">). In total these four companies employ over 200,000 workers in </w:t>
      </w:r>
      <w:smartTag w:uri="urn:schemas-microsoft-com:office:smarttags" w:element="place">
        <w:r w:rsidRPr="0065523F">
          <w:rPr>
            <w:rFonts w:cs="Calibri"/>
          </w:rPr>
          <w:t>Europe</w:t>
        </w:r>
      </w:smartTag>
      <w:r w:rsidRPr="0065523F">
        <w:rPr>
          <w:rFonts w:cs="Calibri"/>
        </w:rPr>
        <w:t>. Founded in 1986, APEAL represents today about 95% of the total European production of steel for packaging.</w:t>
      </w:r>
    </w:p>
    <w:p w14:paraId="5FD2F6CA" w14:textId="77777777" w:rsidR="0052599A" w:rsidRPr="0065523F" w:rsidRDefault="0052599A" w:rsidP="006E2C27">
      <w:pPr>
        <w:pStyle w:val="FootnoteText"/>
        <w:jc w:val="both"/>
      </w:pPr>
    </w:p>
    <w:p w14:paraId="3B528B29" w14:textId="77777777" w:rsidR="0052599A" w:rsidRPr="0065523F" w:rsidRDefault="0052599A" w:rsidP="006E2C27">
      <w:pPr>
        <w:pStyle w:val="FootnoteText"/>
        <w:jc w:val="both"/>
        <w:rPr>
          <w:rFonts w:cs="Calibri"/>
          <w:b/>
        </w:rPr>
      </w:pPr>
      <w:r w:rsidRPr="0065523F">
        <w:rPr>
          <w:rFonts w:cs="Calibri"/>
          <w:b/>
        </w:rPr>
        <w:t>About Steel for Packaging</w:t>
      </w:r>
    </w:p>
    <w:p w14:paraId="68B16D52" w14:textId="77777777" w:rsidR="0052599A" w:rsidRPr="0065523F" w:rsidRDefault="0052599A" w:rsidP="006E2C27">
      <w:pPr>
        <w:spacing w:line="240" w:lineRule="auto"/>
        <w:jc w:val="both"/>
        <w:rPr>
          <w:rFonts w:cs="Calibri"/>
          <w:sz w:val="20"/>
          <w:szCs w:val="20"/>
        </w:rPr>
      </w:pPr>
      <w:r w:rsidRPr="0065523F">
        <w:rPr>
          <w:rFonts w:cs="Calibri"/>
          <w:sz w:val="20"/>
          <w:szCs w:val="20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14:paraId="79BBE34A" w14:textId="77777777" w:rsidR="0052599A" w:rsidRPr="0065523F" w:rsidRDefault="0052599A" w:rsidP="006E2C27">
      <w:pPr>
        <w:jc w:val="both"/>
      </w:pPr>
    </w:p>
    <w:sectPr w:rsidR="0052599A" w:rsidRPr="0065523F" w:rsidSect="000608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AE41" w14:textId="77777777" w:rsidR="00681C52" w:rsidRDefault="00681C52" w:rsidP="006E648F">
      <w:pPr>
        <w:spacing w:after="0" w:line="240" w:lineRule="auto"/>
      </w:pPr>
      <w:r>
        <w:separator/>
      </w:r>
    </w:p>
  </w:endnote>
  <w:endnote w:type="continuationSeparator" w:id="0">
    <w:p w14:paraId="3193613B" w14:textId="77777777" w:rsidR="00681C52" w:rsidRDefault="00681C52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3945" w14:textId="77777777" w:rsidR="00C011DD" w:rsidRDefault="00C0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FED7" w14:textId="77777777" w:rsidR="0052599A" w:rsidRDefault="0052599A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15B651A7" w14:textId="77777777" w:rsidR="0052599A" w:rsidRPr="006D2B21" w:rsidRDefault="0052599A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0E673B74" w14:textId="77777777" w:rsidR="0052599A" w:rsidRPr="006D2B21" w:rsidRDefault="00C44CFB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1F08D1FB" wp14:editId="306C5530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9A" w:rsidRPr="002C6DB4">
      <w:rPr>
        <w:noProof/>
        <w:color w:val="566B73"/>
        <w:sz w:val="16"/>
        <w:szCs w:val="16"/>
        <w:lang w:val="en-GB" w:eastAsia="fr-BE"/>
      </w:rPr>
      <w:t xml:space="preserve">Avenue Ariane, </w:t>
    </w:r>
    <w:proofErr w:type="gramStart"/>
    <w:r w:rsidR="0052599A" w:rsidRPr="002C6DB4">
      <w:rPr>
        <w:noProof/>
        <w:color w:val="566B73"/>
        <w:sz w:val="16"/>
        <w:szCs w:val="16"/>
        <w:lang w:val="en-GB" w:eastAsia="fr-BE"/>
      </w:rPr>
      <w:t xml:space="preserve">5 </w:t>
    </w:r>
    <w:r w:rsidR="0052599A">
      <w:rPr>
        <w:color w:val="566B73"/>
        <w:sz w:val="16"/>
        <w:szCs w:val="16"/>
        <w:lang w:val="en-US"/>
      </w:rPr>
      <w:t xml:space="preserve"> -</w:t>
    </w:r>
    <w:proofErr w:type="gramEnd"/>
    <w:r w:rsidR="0052599A">
      <w:rPr>
        <w:color w:val="566B73"/>
        <w:sz w:val="16"/>
        <w:szCs w:val="16"/>
        <w:lang w:val="en-US"/>
      </w:rPr>
      <w:t xml:space="preserve"> BE-120</w:t>
    </w:r>
    <w:r w:rsidR="0052599A" w:rsidRPr="006D2B21">
      <w:rPr>
        <w:color w:val="566B73"/>
        <w:sz w:val="16"/>
        <w:szCs w:val="16"/>
        <w:lang w:val="en-US"/>
      </w:rPr>
      <w:t xml:space="preserve">0 </w:t>
    </w:r>
    <w:smartTag w:uri="urn:schemas-microsoft-com:office:smarttags" w:element="City">
      <w:r w:rsidR="0052599A" w:rsidRPr="006D2B21">
        <w:rPr>
          <w:color w:val="566B73"/>
          <w:sz w:val="16"/>
          <w:szCs w:val="16"/>
          <w:lang w:val="en-US"/>
        </w:rPr>
        <w:t>Brussels</w:t>
      </w:r>
    </w:smartTag>
    <w:r w:rsidR="0052599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52599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29608511" w14:textId="77777777" w:rsidR="0052599A" w:rsidRPr="006D2B21" w:rsidRDefault="0052599A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76DDB24B" w14:textId="77777777" w:rsidR="0052599A" w:rsidRPr="006D2B21" w:rsidRDefault="0052599A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49F8" w14:textId="77777777" w:rsidR="0052599A" w:rsidRDefault="0052599A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4428AEEC" w14:textId="77777777" w:rsidR="0052599A" w:rsidRPr="006D2B21" w:rsidRDefault="0052599A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67CB68ED" w14:textId="77777777" w:rsidR="0052599A" w:rsidRPr="006D2B21" w:rsidRDefault="00C44CFB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225BD792" wp14:editId="3869CE89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9A">
      <w:rPr>
        <w:color w:val="566B73"/>
        <w:sz w:val="16"/>
        <w:szCs w:val="16"/>
        <w:lang w:val="en-US"/>
      </w:rPr>
      <w:t>Avenue Ariane</w:t>
    </w:r>
    <w:r w:rsidR="0052599A" w:rsidRPr="006D2B21">
      <w:rPr>
        <w:color w:val="566B73"/>
        <w:sz w:val="16"/>
        <w:szCs w:val="16"/>
        <w:lang w:val="en-US"/>
      </w:rPr>
      <w:t>,</w:t>
    </w:r>
    <w:r w:rsidR="0052599A">
      <w:rPr>
        <w:color w:val="566B73"/>
        <w:sz w:val="16"/>
        <w:szCs w:val="16"/>
        <w:lang w:val="en-US"/>
      </w:rPr>
      <w:t xml:space="preserve"> 5</w:t>
    </w:r>
    <w:r w:rsidR="0052599A" w:rsidRPr="006D2B21">
      <w:rPr>
        <w:color w:val="566B73"/>
        <w:sz w:val="16"/>
        <w:szCs w:val="16"/>
        <w:lang w:val="en-US"/>
      </w:rPr>
      <w:t xml:space="preserve"> - BE-1</w:t>
    </w:r>
    <w:r w:rsidR="0052599A">
      <w:rPr>
        <w:color w:val="566B73"/>
        <w:sz w:val="16"/>
        <w:szCs w:val="16"/>
        <w:lang w:val="en-US"/>
      </w:rPr>
      <w:t>200</w:t>
    </w:r>
    <w:r w:rsidR="0052599A" w:rsidRPr="006D2B21">
      <w:rPr>
        <w:color w:val="566B73"/>
        <w:sz w:val="16"/>
        <w:szCs w:val="16"/>
        <w:lang w:val="en-US"/>
      </w:rPr>
      <w:t xml:space="preserve"> </w:t>
    </w:r>
    <w:smartTag w:uri="urn:schemas-microsoft-com:office:smarttags" w:element="City">
      <w:r w:rsidR="0052599A" w:rsidRPr="006D2B21">
        <w:rPr>
          <w:color w:val="566B73"/>
          <w:sz w:val="16"/>
          <w:szCs w:val="16"/>
          <w:lang w:val="en-US"/>
        </w:rPr>
        <w:t>Brussels</w:t>
      </w:r>
    </w:smartTag>
    <w:r w:rsidR="0052599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52599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01853A19" w14:textId="77777777" w:rsidR="0052599A" w:rsidRPr="006D2B21" w:rsidRDefault="0052599A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6F127711" w14:textId="77777777" w:rsidR="0052599A" w:rsidRPr="00B0783A" w:rsidRDefault="0052599A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99F5" w14:textId="77777777" w:rsidR="00681C52" w:rsidRDefault="00681C52" w:rsidP="006E648F">
      <w:pPr>
        <w:spacing w:after="0" w:line="240" w:lineRule="auto"/>
      </w:pPr>
      <w:r>
        <w:separator/>
      </w:r>
    </w:p>
  </w:footnote>
  <w:footnote w:type="continuationSeparator" w:id="0">
    <w:p w14:paraId="37AE1215" w14:textId="77777777" w:rsidR="00681C52" w:rsidRDefault="00681C52" w:rsidP="006E648F">
      <w:pPr>
        <w:spacing w:after="0" w:line="240" w:lineRule="auto"/>
      </w:pPr>
      <w:r>
        <w:continuationSeparator/>
      </w:r>
    </w:p>
  </w:footnote>
  <w:footnote w:id="1">
    <w:p w14:paraId="343BC0D8" w14:textId="180B2CB1" w:rsidR="00391472" w:rsidRPr="007A7A3C" w:rsidRDefault="00391472" w:rsidP="003914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651612">
        <w:rPr>
          <w:lang w:val="en-GB"/>
        </w:rPr>
        <w:t xml:space="preserve"> </w:t>
      </w:r>
      <w:r>
        <w:rPr>
          <w:lang w:val="en-GB"/>
        </w:rPr>
        <w:t xml:space="preserve">Date after which the use of an </w:t>
      </w:r>
      <w:r w:rsidR="00D5624E">
        <w:rPr>
          <w:lang w:val="en-GB"/>
        </w:rPr>
        <w:t>Annex XIV</w:t>
      </w:r>
      <w:r>
        <w:rPr>
          <w:lang w:val="en-GB"/>
        </w:rPr>
        <w:t xml:space="preserve"> substance </w:t>
      </w:r>
      <w:r w:rsidR="00D5624E">
        <w:rPr>
          <w:lang w:val="en-GB"/>
        </w:rPr>
        <w:t xml:space="preserve">needs an </w:t>
      </w:r>
      <w:r w:rsidR="00BB4A08">
        <w:rPr>
          <w:lang w:val="en-GB"/>
        </w:rPr>
        <w:t>a</w:t>
      </w:r>
      <w:r w:rsidR="00D5624E">
        <w:rPr>
          <w:lang w:val="en-GB"/>
        </w:rPr>
        <w:t>uthorisation</w:t>
      </w:r>
      <w:r>
        <w:rPr>
          <w:lang w:val="en-GB"/>
        </w:rPr>
        <w:t xml:space="preserve"> within the EEA (EU + Norway, Iceland and Liechtenstein)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F6D5" w14:textId="77777777" w:rsidR="00C011DD" w:rsidRDefault="00C01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D654" w14:textId="77777777" w:rsidR="00C011DD" w:rsidRDefault="00C01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23FA" w14:textId="77777777" w:rsidR="0052599A" w:rsidRDefault="00C44CFB" w:rsidP="00060854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470CE575" wp14:editId="54CB9D3C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411C7" w14:textId="77777777" w:rsidR="0052599A" w:rsidRDefault="0052599A" w:rsidP="00060854">
    <w:pPr>
      <w:pStyle w:val="Header"/>
    </w:pPr>
  </w:p>
  <w:p w14:paraId="6F2ABE9B" w14:textId="77777777" w:rsidR="0052599A" w:rsidRDefault="0052599A" w:rsidP="00060854">
    <w:pPr>
      <w:pStyle w:val="Header"/>
    </w:pPr>
  </w:p>
  <w:p w14:paraId="55DF2CCE" w14:textId="77777777" w:rsidR="0052599A" w:rsidRDefault="0052599A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52599A" w:rsidRPr="00A23DE6" w14:paraId="59352C6B" w14:textId="77777777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14:paraId="6DC6B546" w14:textId="77777777" w:rsidR="0052599A" w:rsidRPr="00A23DE6" w:rsidRDefault="0052599A" w:rsidP="006A03BF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14:paraId="7B25217B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14:paraId="5A8270FB" w14:textId="77777777" w:rsidR="0052599A" w:rsidRPr="00A23DE6" w:rsidRDefault="00791B54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 xml:space="preserve">Michael Bennett </w:t>
          </w:r>
        </w:p>
      </w:tc>
    </w:tr>
    <w:tr w:rsidR="0052599A" w:rsidRPr="00A23DE6" w14:paraId="2869272A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7F5D98A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5DA766B6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7A1C3D50" w14:textId="77777777" w:rsidR="0052599A" w:rsidRPr="00A23DE6" w:rsidRDefault="0052599A" w:rsidP="00060043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Pelican</w:t>
          </w:r>
          <w:r w:rsidR="00F44B2E">
            <w:rPr>
              <w:color w:val="566B73"/>
              <w:sz w:val="20"/>
              <w:szCs w:val="20"/>
              <w:lang w:val="en-US"/>
            </w:rPr>
            <w:t xml:space="preserve"> Communicatio</w:t>
          </w:r>
          <w:r w:rsidR="004278D7">
            <w:rPr>
              <w:color w:val="566B73"/>
              <w:sz w:val="20"/>
              <w:szCs w:val="20"/>
              <w:lang w:val="en-US"/>
            </w:rPr>
            <w:t>n</w:t>
          </w:r>
          <w:r w:rsidR="00F44B2E">
            <w:rPr>
              <w:color w:val="566B73"/>
              <w:sz w:val="20"/>
              <w:szCs w:val="20"/>
              <w:lang w:val="en-US"/>
            </w:rPr>
            <w:t>s</w:t>
          </w:r>
        </w:p>
      </w:tc>
    </w:tr>
    <w:tr w:rsidR="0052599A" w:rsidRPr="00AA12CD" w14:paraId="09E850D9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5104EE5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3DAFA2D3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16064741" w14:textId="77777777" w:rsidR="0052599A" w:rsidRPr="00A23DE6" w:rsidRDefault="00F44B2E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Michael.bennett</w:t>
          </w:r>
          <w:r w:rsidR="001109F5">
            <w:rPr>
              <w:color w:val="566B73"/>
              <w:sz w:val="20"/>
              <w:szCs w:val="20"/>
              <w:lang w:val="en-US"/>
            </w:rPr>
            <w:t>@pelicomms</w:t>
          </w:r>
          <w:r w:rsidR="0052599A">
            <w:rPr>
              <w:color w:val="566B73"/>
              <w:sz w:val="20"/>
              <w:szCs w:val="20"/>
              <w:lang w:val="en-US"/>
            </w:rPr>
            <w:t>.co.uk</w:t>
          </w:r>
        </w:p>
      </w:tc>
    </w:tr>
    <w:tr w:rsidR="0052599A" w:rsidRPr="00F44B2E" w14:paraId="0983A7B1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30724C35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2BE249A6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23302838" w14:textId="77777777" w:rsidR="0052599A" w:rsidRPr="00F44B2E" w:rsidRDefault="0052599A" w:rsidP="00CA3254">
          <w:pPr>
            <w:pStyle w:val="Header"/>
            <w:rPr>
              <w:color w:val="566B73"/>
              <w:sz w:val="20"/>
              <w:szCs w:val="20"/>
              <w:lang w:val="en-GB"/>
            </w:rPr>
          </w:pPr>
        </w:p>
      </w:tc>
    </w:tr>
    <w:tr w:rsidR="0052599A" w:rsidRPr="00F44B2E" w14:paraId="254F9CE4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1AC4DF62" w14:textId="77777777" w:rsidR="0052599A" w:rsidRPr="00F44B2E" w:rsidRDefault="0052599A" w:rsidP="006A03BF">
          <w:pPr>
            <w:pStyle w:val="Header"/>
            <w:ind w:left="1026"/>
            <w:rPr>
              <w:lang w:val="en-GB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0DBA8148" w14:textId="77777777" w:rsidR="0052599A" w:rsidRPr="00F44B2E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Number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46FE4FFE" w14:textId="77777777" w:rsidR="0052599A" w:rsidRPr="00F44B2E" w:rsidRDefault="00A87D38" w:rsidP="006A03BF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 w:rsidRPr="00F44B2E">
            <w:rPr>
              <w:color w:val="566B73"/>
              <w:sz w:val="20"/>
              <w:szCs w:val="20"/>
              <w:lang w:val="en-GB"/>
            </w:rPr>
            <w:t>2</w:t>
          </w:r>
        </w:p>
      </w:tc>
    </w:tr>
    <w:tr w:rsidR="0052599A" w:rsidRPr="00F44B2E" w14:paraId="74CD7801" w14:textId="77777777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14:paraId="7A429397" w14:textId="6A61E25C" w:rsidR="0052599A" w:rsidRPr="00F44B2E" w:rsidRDefault="00BC32EB" w:rsidP="000A11D7">
          <w:pPr>
            <w:pStyle w:val="Header"/>
            <w:ind w:left="1026"/>
            <w:rPr>
              <w:color w:val="566B73"/>
              <w:sz w:val="28"/>
              <w:szCs w:val="28"/>
              <w:lang w:val="en-GB"/>
            </w:rPr>
          </w:pPr>
          <w:r>
            <w:rPr>
              <w:color w:val="566B73"/>
              <w:sz w:val="28"/>
              <w:szCs w:val="28"/>
              <w:lang w:val="en-GB"/>
            </w:rPr>
            <w:t>2</w:t>
          </w:r>
          <w:r w:rsidR="00C011DD">
            <w:rPr>
              <w:color w:val="566B73"/>
              <w:sz w:val="28"/>
              <w:szCs w:val="28"/>
              <w:lang w:val="en-GB"/>
            </w:rPr>
            <w:t>2</w:t>
          </w:r>
          <w:r w:rsidR="00C011DD" w:rsidRPr="00C011DD">
            <w:rPr>
              <w:color w:val="566B73"/>
              <w:sz w:val="28"/>
              <w:szCs w:val="28"/>
              <w:vertAlign w:val="superscript"/>
              <w:lang w:val="en-GB"/>
            </w:rPr>
            <w:t>nd</w:t>
          </w:r>
          <w:r w:rsidR="00C011DD">
            <w:rPr>
              <w:color w:val="566B73"/>
              <w:sz w:val="28"/>
              <w:szCs w:val="28"/>
              <w:lang w:val="en-GB"/>
            </w:rPr>
            <w:t xml:space="preserve"> </w:t>
          </w:r>
          <w:bookmarkStart w:id="0" w:name="_GoBack"/>
          <w:bookmarkEnd w:id="0"/>
          <w:r w:rsidR="00044FE6">
            <w:rPr>
              <w:color w:val="566B73"/>
              <w:sz w:val="28"/>
              <w:szCs w:val="28"/>
              <w:lang w:val="en-GB"/>
            </w:rPr>
            <w:t>February</w:t>
          </w:r>
          <w:r w:rsidR="00F44B2E" w:rsidRPr="00F44B2E">
            <w:rPr>
              <w:color w:val="566B73"/>
              <w:sz w:val="28"/>
              <w:szCs w:val="28"/>
              <w:lang w:val="en-GB"/>
            </w:rPr>
            <w:t xml:space="preserve"> </w:t>
          </w:r>
          <w:r w:rsidR="000A11D7">
            <w:rPr>
              <w:color w:val="566B73"/>
              <w:sz w:val="28"/>
              <w:szCs w:val="28"/>
              <w:lang w:val="en-GB"/>
            </w:rPr>
            <w:t>201</w:t>
          </w:r>
          <w:r w:rsidR="00D52CD1">
            <w:rPr>
              <w:color w:val="566B73"/>
              <w:sz w:val="28"/>
              <w:szCs w:val="28"/>
              <w:lang w:val="en-GB"/>
            </w:rPr>
            <w:t>9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14:paraId="672513F8" w14:textId="77777777" w:rsidR="0052599A" w:rsidRPr="00F44B2E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14:paraId="147C04B6" w14:textId="45ECEE8B" w:rsidR="0052599A" w:rsidRPr="00F44B2E" w:rsidRDefault="00044FE6" w:rsidP="009B5A08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>REACH AUTHORISATION CHROMIUM TRIOXIDE</w:t>
          </w:r>
          <w:r w:rsidR="00F44B2E">
            <w:rPr>
              <w:color w:val="566B73"/>
              <w:sz w:val="20"/>
              <w:szCs w:val="20"/>
              <w:lang w:val="en-GB"/>
            </w:rPr>
            <w:t xml:space="preserve"> </w:t>
          </w:r>
        </w:p>
      </w:tc>
    </w:tr>
  </w:tbl>
  <w:p w14:paraId="0981BFEB" w14:textId="77777777" w:rsidR="0052599A" w:rsidRPr="00F44B2E" w:rsidRDefault="0052599A" w:rsidP="00060854">
    <w:pPr>
      <w:pStyle w:val="Header"/>
      <w:rPr>
        <w:lang w:val="en-GB"/>
      </w:rPr>
    </w:pPr>
  </w:p>
  <w:p w14:paraId="51AC5018" w14:textId="77777777" w:rsidR="0052599A" w:rsidRPr="00F44B2E" w:rsidRDefault="0052599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966"/>
    <w:multiLevelType w:val="hybridMultilevel"/>
    <w:tmpl w:val="D3B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5203"/>
    <w:multiLevelType w:val="hybridMultilevel"/>
    <w:tmpl w:val="90D250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13D70"/>
    <w:rsid w:val="000239E1"/>
    <w:rsid w:val="00031A14"/>
    <w:rsid w:val="0003511E"/>
    <w:rsid w:val="00044FE6"/>
    <w:rsid w:val="00060043"/>
    <w:rsid w:val="00060854"/>
    <w:rsid w:val="00070216"/>
    <w:rsid w:val="000A0227"/>
    <w:rsid w:val="000A11D7"/>
    <w:rsid w:val="000A46F4"/>
    <w:rsid w:val="000C2FA6"/>
    <w:rsid w:val="000C6178"/>
    <w:rsid w:val="000C6D97"/>
    <w:rsid w:val="000F599E"/>
    <w:rsid w:val="00107B51"/>
    <w:rsid w:val="001109F5"/>
    <w:rsid w:val="00111CC6"/>
    <w:rsid w:val="00112E18"/>
    <w:rsid w:val="00143C71"/>
    <w:rsid w:val="001774DF"/>
    <w:rsid w:val="001A6A8E"/>
    <w:rsid w:val="001D0618"/>
    <w:rsid w:val="0021133D"/>
    <w:rsid w:val="00224BB5"/>
    <w:rsid w:val="002274C2"/>
    <w:rsid w:val="00233F10"/>
    <w:rsid w:val="00237102"/>
    <w:rsid w:val="00240600"/>
    <w:rsid w:val="00244B3A"/>
    <w:rsid w:val="00260DF7"/>
    <w:rsid w:val="00262D57"/>
    <w:rsid w:val="00263AE9"/>
    <w:rsid w:val="002725B7"/>
    <w:rsid w:val="00292C78"/>
    <w:rsid w:val="002C2AAA"/>
    <w:rsid w:val="002C422D"/>
    <w:rsid w:val="002C6DB4"/>
    <w:rsid w:val="002D2C39"/>
    <w:rsid w:val="00317152"/>
    <w:rsid w:val="00350194"/>
    <w:rsid w:val="00356245"/>
    <w:rsid w:val="00362DA1"/>
    <w:rsid w:val="00363C4D"/>
    <w:rsid w:val="00363D48"/>
    <w:rsid w:val="00366E33"/>
    <w:rsid w:val="00386984"/>
    <w:rsid w:val="00391472"/>
    <w:rsid w:val="003A1B85"/>
    <w:rsid w:val="003A7983"/>
    <w:rsid w:val="003F424B"/>
    <w:rsid w:val="003F6774"/>
    <w:rsid w:val="00420D73"/>
    <w:rsid w:val="004248AB"/>
    <w:rsid w:val="004278D7"/>
    <w:rsid w:val="0047410E"/>
    <w:rsid w:val="00495B42"/>
    <w:rsid w:val="004A32D7"/>
    <w:rsid w:val="004A48E1"/>
    <w:rsid w:val="004C32B8"/>
    <w:rsid w:val="004D19E5"/>
    <w:rsid w:val="004E7405"/>
    <w:rsid w:val="00500310"/>
    <w:rsid w:val="00516C2A"/>
    <w:rsid w:val="00516F06"/>
    <w:rsid w:val="00521041"/>
    <w:rsid w:val="0052599A"/>
    <w:rsid w:val="005341F9"/>
    <w:rsid w:val="00557AB7"/>
    <w:rsid w:val="00587448"/>
    <w:rsid w:val="005A4003"/>
    <w:rsid w:val="005B2B94"/>
    <w:rsid w:val="005E24E5"/>
    <w:rsid w:val="005E5C01"/>
    <w:rsid w:val="005E7F11"/>
    <w:rsid w:val="005F0916"/>
    <w:rsid w:val="005F5C7F"/>
    <w:rsid w:val="006153C0"/>
    <w:rsid w:val="00623899"/>
    <w:rsid w:val="0062623C"/>
    <w:rsid w:val="00635CAD"/>
    <w:rsid w:val="00651612"/>
    <w:rsid w:val="0065523F"/>
    <w:rsid w:val="00655FAF"/>
    <w:rsid w:val="006560DE"/>
    <w:rsid w:val="006577DF"/>
    <w:rsid w:val="00673D0D"/>
    <w:rsid w:val="00673E7A"/>
    <w:rsid w:val="00681C52"/>
    <w:rsid w:val="0068354F"/>
    <w:rsid w:val="00686359"/>
    <w:rsid w:val="006963D9"/>
    <w:rsid w:val="006A03BF"/>
    <w:rsid w:val="006A4776"/>
    <w:rsid w:val="006B42A9"/>
    <w:rsid w:val="006B47E9"/>
    <w:rsid w:val="006C38CC"/>
    <w:rsid w:val="006D2B21"/>
    <w:rsid w:val="006E2C27"/>
    <w:rsid w:val="006E33D9"/>
    <w:rsid w:val="006E53AF"/>
    <w:rsid w:val="006E648F"/>
    <w:rsid w:val="006F05FF"/>
    <w:rsid w:val="0071283D"/>
    <w:rsid w:val="007218F6"/>
    <w:rsid w:val="00724F1C"/>
    <w:rsid w:val="007627C8"/>
    <w:rsid w:val="00766DBD"/>
    <w:rsid w:val="007749BE"/>
    <w:rsid w:val="00791B54"/>
    <w:rsid w:val="0079203E"/>
    <w:rsid w:val="007B2840"/>
    <w:rsid w:val="007C3DB0"/>
    <w:rsid w:val="008210D1"/>
    <w:rsid w:val="00857858"/>
    <w:rsid w:val="00872125"/>
    <w:rsid w:val="00892626"/>
    <w:rsid w:val="00892F7C"/>
    <w:rsid w:val="008A731B"/>
    <w:rsid w:val="008D1DDD"/>
    <w:rsid w:val="008E3B03"/>
    <w:rsid w:val="009062D1"/>
    <w:rsid w:val="0091007B"/>
    <w:rsid w:val="009140D8"/>
    <w:rsid w:val="0091610F"/>
    <w:rsid w:val="00923F97"/>
    <w:rsid w:val="00951635"/>
    <w:rsid w:val="00955E94"/>
    <w:rsid w:val="00957C51"/>
    <w:rsid w:val="0097154B"/>
    <w:rsid w:val="00974847"/>
    <w:rsid w:val="00981B24"/>
    <w:rsid w:val="00985C16"/>
    <w:rsid w:val="009952DA"/>
    <w:rsid w:val="009A1DF6"/>
    <w:rsid w:val="009B5A08"/>
    <w:rsid w:val="009C156C"/>
    <w:rsid w:val="009C7B4C"/>
    <w:rsid w:val="009F56C3"/>
    <w:rsid w:val="00A00DB5"/>
    <w:rsid w:val="00A16924"/>
    <w:rsid w:val="00A23DE6"/>
    <w:rsid w:val="00A3159A"/>
    <w:rsid w:val="00A31EBA"/>
    <w:rsid w:val="00A32A03"/>
    <w:rsid w:val="00A400FC"/>
    <w:rsid w:val="00A44D6A"/>
    <w:rsid w:val="00A51895"/>
    <w:rsid w:val="00A61970"/>
    <w:rsid w:val="00A62DCD"/>
    <w:rsid w:val="00A6414C"/>
    <w:rsid w:val="00A87D38"/>
    <w:rsid w:val="00A96104"/>
    <w:rsid w:val="00AA12CD"/>
    <w:rsid w:val="00AC1E8C"/>
    <w:rsid w:val="00AC6FA9"/>
    <w:rsid w:val="00AF34E0"/>
    <w:rsid w:val="00AF4A29"/>
    <w:rsid w:val="00B01D7E"/>
    <w:rsid w:val="00B01EB7"/>
    <w:rsid w:val="00B0783A"/>
    <w:rsid w:val="00B14CC9"/>
    <w:rsid w:val="00B2696F"/>
    <w:rsid w:val="00B5320C"/>
    <w:rsid w:val="00B778FB"/>
    <w:rsid w:val="00BB4A08"/>
    <w:rsid w:val="00BC32EB"/>
    <w:rsid w:val="00BE3052"/>
    <w:rsid w:val="00C011DD"/>
    <w:rsid w:val="00C10471"/>
    <w:rsid w:val="00C24D2A"/>
    <w:rsid w:val="00C26092"/>
    <w:rsid w:val="00C33B36"/>
    <w:rsid w:val="00C44CFB"/>
    <w:rsid w:val="00C51A9F"/>
    <w:rsid w:val="00C62233"/>
    <w:rsid w:val="00C76250"/>
    <w:rsid w:val="00C93B4D"/>
    <w:rsid w:val="00C9783F"/>
    <w:rsid w:val="00CA3254"/>
    <w:rsid w:val="00CA6DD4"/>
    <w:rsid w:val="00CB0DAA"/>
    <w:rsid w:val="00CE0C6B"/>
    <w:rsid w:val="00CF6447"/>
    <w:rsid w:val="00CF791D"/>
    <w:rsid w:val="00D240DF"/>
    <w:rsid w:val="00D3177E"/>
    <w:rsid w:val="00D52CD1"/>
    <w:rsid w:val="00D53818"/>
    <w:rsid w:val="00D551A2"/>
    <w:rsid w:val="00D5624E"/>
    <w:rsid w:val="00D563C9"/>
    <w:rsid w:val="00D654E1"/>
    <w:rsid w:val="00D70E10"/>
    <w:rsid w:val="00D725BE"/>
    <w:rsid w:val="00D91A89"/>
    <w:rsid w:val="00D94ED8"/>
    <w:rsid w:val="00DB6375"/>
    <w:rsid w:val="00DC7E2A"/>
    <w:rsid w:val="00E00E71"/>
    <w:rsid w:val="00E01EAD"/>
    <w:rsid w:val="00E02681"/>
    <w:rsid w:val="00E2602B"/>
    <w:rsid w:val="00E27CFC"/>
    <w:rsid w:val="00E45446"/>
    <w:rsid w:val="00E51073"/>
    <w:rsid w:val="00E5368E"/>
    <w:rsid w:val="00E675E9"/>
    <w:rsid w:val="00E719E7"/>
    <w:rsid w:val="00E92D85"/>
    <w:rsid w:val="00E941B4"/>
    <w:rsid w:val="00EA1D3A"/>
    <w:rsid w:val="00EB523B"/>
    <w:rsid w:val="00EF37D0"/>
    <w:rsid w:val="00F244E5"/>
    <w:rsid w:val="00F420BC"/>
    <w:rsid w:val="00F4363F"/>
    <w:rsid w:val="00F44B2E"/>
    <w:rsid w:val="00F44C3B"/>
    <w:rsid w:val="00F564B4"/>
    <w:rsid w:val="00F64B78"/>
    <w:rsid w:val="00F672C5"/>
    <w:rsid w:val="00FB5F84"/>
    <w:rsid w:val="00FC332F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04BF0E41"/>
  <w15:docId w15:val="{7D601091-8ABB-4562-9318-AE672BE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C2F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2FA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2FA6"/>
    <w:rPr>
      <w:rFonts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9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A96104"/>
  </w:style>
  <w:style w:type="character" w:customStyle="1" w:styleId="FootnoteTextChar1">
    <w:name w:val="Footnote Text Char1"/>
    <w:basedOn w:val="DefaultParagraphFont"/>
    <w:uiPriority w:val="99"/>
    <w:semiHidden/>
    <w:rsid w:val="00651612"/>
    <w:rPr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5">
          <w:marLeft w:val="0"/>
          <w:marRight w:val="0"/>
          <w:marTop w:val="0"/>
          <w:marBottom w:val="75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3741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ennett@pelicomms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elforpackag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pea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mobbs@apeal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8C72-801A-408E-A62C-9ECD3CEB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APEAL PLANS TO ‘STEEL’ THE SHOW AT INTERPACK</vt:lpstr>
    </vt:vector>
  </TitlesOfParts>
  <Company>Morris&amp;Chappman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APEAL PLANS TO ‘STEEL’ THE SHOW AT INTERPACK</dc:title>
  <dc:creator>Thierry</dc:creator>
  <cp:lastModifiedBy>Patricia Mobbs</cp:lastModifiedBy>
  <cp:revision>5</cp:revision>
  <cp:lastPrinted>2019-02-21T09:07:00Z</cp:lastPrinted>
  <dcterms:created xsi:type="dcterms:W3CDTF">2019-02-20T11:45:00Z</dcterms:created>
  <dcterms:modified xsi:type="dcterms:W3CDTF">2019-02-22T09:14:00Z</dcterms:modified>
</cp:coreProperties>
</file>