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2F4" w:rsidRDefault="007B1006" w:rsidP="004F4B99">
      <w:pPr>
        <w:spacing w:before="240" w:after="240" w:line="360" w:lineRule="auto"/>
        <w:jc w:val="center"/>
        <w:rPr>
          <w:rFonts w:ascii="Arial" w:eastAsia="Times New Roman" w:hAnsi="Arial"/>
          <w:b/>
          <w:caps/>
          <w:color w:val="566B73"/>
          <w:sz w:val="26"/>
          <w:szCs w:val="26"/>
          <w:lang w:val="en-GB"/>
        </w:rPr>
      </w:pPr>
      <w:bookmarkStart w:id="0" w:name="_GoBack"/>
      <w:bookmarkEnd w:id="0"/>
      <w:r>
        <w:rPr>
          <w:rFonts w:ascii="Arial" w:eastAsia="Times New Roman" w:hAnsi="Arial"/>
          <w:b/>
          <w:caps/>
          <w:color w:val="566B73"/>
          <w:sz w:val="26"/>
          <w:szCs w:val="26"/>
          <w:lang w:val="en-GB"/>
        </w:rPr>
        <w:t>circular economy package</w:t>
      </w:r>
      <w:r w:rsidR="00F42401" w:rsidRPr="00F42401">
        <w:rPr>
          <w:rFonts w:ascii="Arial" w:eastAsia="Times New Roman" w:hAnsi="Arial"/>
          <w:b/>
          <w:caps/>
          <w:color w:val="566B73"/>
          <w:sz w:val="26"/>
          <w:szCs w:val="26"/>
          <w:lang w:val="en-GB"/>
        </w:rPr>
        <w:t xml:space="preserve"> </w:t>
      </w:r>
      <w:r w:rsidR="001C4EDB">
        <w:rPr>
          <w:rFonts w:ascii="Arial" w:eastAsia="Times New Roman" w:hAnsi="Arial"/>
          <w:b/>
          <w:caps/>
          <w:color w:val="566B73"/>
          <w:sz w:val="26"/>
          <w:szCs w:val="26"/>
          <w:lang w:val="en-GB"/>
        </w:rPr>
        <w:t xml:space="preserve">CONFIRMS STEEL FOR PACKAGING AS A RECYCLING LEADER </w:t>
      </w:r>
    </w:p>
    <w:p w:rsidR="00AA38E0" w:rsidRDefault="00AA38E0" w:rsidP="00AA38E0">
      <w:pPr>
        <w:spacing w:before="240" w:after="240" w:line="360" w:lineRule="auto"/>
        <w:rPr>
          <w:rFonts w:eastAsia="Times New Roman"/>
          <w:lang w:val="en-GB"/>
        </w:rPr>
      </w:pPr>
      <w:r w:rsidRPr="00E05DBB">
        <w:rPr>
          <w:rStyle w:val="IntenseEmphasis"/>
          <w:lang w:val="en-GB"/>
        </w:rPr>
        <w:t>APEAL (the Association of European Producers of Steel for Packaging)</w:t>
      </w:r>
      <w:r>
        <w:rPr>
          <w:rStyle w:val="IntenseEmphasis"/>
          <w:lang w:val="en-GB"/>
        </w:rPr>
        <w:t xml:space="preserve"> has</w:t>
      </w:r>
      <w:r w:rsidRPr="00E05DBB">
        <w:rPr>
          <w:rStyle w:val="IntenseEmphasis"/>
          <w:lang w:val="en-GB"/>
        </w:rPr>
        <w:t xml:space="preserve"> </w:t>
      </w:r>
      <w:r>
        <w:rPr>
          <w:rStyle w:val="IntenseEmphasis"/>
          <w:lang w:val="en-GB"/>
        </w:rPr>
        <w:t xml:space="preserve">welcomed the announcement of a </w:t>
      </w:r>
      <w:r w:rsidR="00F56803">
        <w:rPr>
          <w:rStyle w:val="IntenseEmphasis"/>
          <w:lang w:val="en-GB"/>
        </w:rPr>
        <w:t xml:space="preserve">balanced </w:t>
      </w:r>
      <w:r>
        <w:rPr>
          <w:rStyle w:val="IntenseEmphasis"/>
          <w:lang w:val="en-GB"/>
        </w:rPr>
        <w:t xml:space="preserve">Circular Economy Package, following the considerable progress made during the last </w:t>
      </w:r>
      <w:r w:rsidR="00DB53E8">
        <w:rPr>
          <w:rStyle w:val="IntenseEmphasis"/>
          <w:lang w:val="en-GB"/>
        </w:rPr>
        <w:t>T</w:t>
      </w:r>
      <w:r>
        <w:rPr>
          <w:rStyle w:val="IntenseEmphasis"/>
          <w:lang w:val="en-GB"/>
        </w:rPr>
        <w:t>rilogue discussions under the Estonian Presidency on 1</w:t>
      </w:r>
      <w:r w:rsidR="009C7423">
        <w:rPr>
          <w:rStyle w:val="IntenseEmphasis"/>
          <w:lang w:val="en-GB"/>
        </w:rPr>
        <w:t>8</w:t>
      </w:r>
      <w:r>
        <w:rPr>
          <w:rStyle w:val="IntenseEmphasis"/>
          <w:lang w:val="en-GB"/>
        </w:rPr>
        <w:t xml:space="preserve"> December</w:t>
      </w:r>
      <w:r w:rsidR="00F56803">
        <w:rPr>
          <w:rStyle w:val="IntenseEmphasis"/>
          <w:lang w:val="en-GB"/>
        </w:rPr>
        <w:t>.</w:t>
      </w:r>
      <w:r>
        <w:rPr>
          <w:rFonts w:eastAsia="Times New Roman"/>
          <w:lang w:val="en-GB"/>
        </w:rPr>
        <w:t xml:space="preserve"> </w:t>
      </w:r>
    </w:p>
    <w:p w:rsidR="00AA38E0" w:rsidRDefault="00AA38E0" w:rsidP="00AA38E0">
      <w:pPr>
        <w:spacing w:before="240" w:after="240" w:line="360" w:lineRule="auto"/>
        <w:rPr>
          <w:lang w:val="en-GB"/>
        </w:rPr>
      </w:pPr>
      <w:r>
        <w:rPr>
          <w:lang w:val="en-GB"/>
        </w:rPr>
        <w:t xml:space="preserve">Even if the final compromise still has to be formally adopted by the European Parliament (EP) </w:t>
      </w:r>
      <w:r w:rsidR="00F56803">
        <w:rPr>
          <w:lang w:val="en-GB"/>
        </w:rPr>
        <w:t>and confirmed under the Bulgarian presidency</w:t>
      </w:r>
      <w:r>
        <w:rPr>
          <w:lang w:val="en-GB"/>
        </w:rPr>
        <w:t>, APEAL welcomes the general principles from the EU Institutions to place the measurement point of recycling as close as possible to real recycling.</w:t>
      </w:r>
    </w:p>
    <w:p w:rsidR="00F56803" w:rsidRPr="00B44B39" w:rsidRDefault="00F56803" w:rsidP="001E51E3">
      <w:pPr>
        <w:spacing w:before="240" w:after="240" w:line="360" w:lineRule="auto"/>
        <w:rPr>
          <w:lang w:val="en-US"/>
        </w:rPr>
      </w:pPr>
      <w:r w:rsidRPr="00B44B39">
        <w:rPr>
          <w:lang w:val="en-US"/>
        </w:rPr>
        <w:t>With 77,5% recycled in 2015</w:t>
      </w:r>
      <w:r w:rsidRPr="00B44B39">
        <w:rPr>
          <w:vertAlign w:val="superscript"/>
          <w:lang w:val="en-US"/>
        </w:rPr>
        <w:t>1</w:t>
      </w:r>
      <w:r w:rsidRPr="00B44B39">
        <w:rPr>
          <w:lang w:val="en-US"/>
        </w:rPr>
        <w:t xml:space="preserve">, steel is ideally positioned as the model packaging material for a circular economy and the new steel targets clearly reflect this. </w:t>
      </w:r>
    </w:p>
    <w:p w:rsidR="00B44B39" w:rsidRPr="00B44B39" w:rsidRDefault="00B94B85" w:rsidP="001E51E3">
      <w:pPr>
        <w:spacing w:before="240" w:after="240" w:line="360" w:lineRule="auto"/>
        <w:rPr>
          <w:lang w:val="en-US"/>
        </w:rPr>
      </w:pPr>
      <w:r>
        <w:rPr>
          <w:lang w:val="en-US"/>
        </w:rPr>
        <w:t xml:space="preserve">Even if the agreed targets </w:t>
      </w:r>
      <w:r w:rsidR="00C413B3">
        <w:rPr>
          <w:lang w:val="en-US"/>
        </w:rPr>
        <w:t xml:space="preserve">for all materials </w:t>
      </w:r>
      <w:r>
        <w:rPr>
          <w:lang w:val="en-US"/>
        </w:rPr>
        <w:t>are an important step forward, we feel that the Member States could have shown more ambition during the final Trilogue. The last-minute introduction of a flexibility mechanism for Member States</w:t>
      </w:r>
      <w:r w:rsidR="00B44B39" w:rsidRPr="00B44B39">
        <w:rPr>
          <w:lang w:val="en-US"/>
        </w:rPr>
        <w:t xml:space="preserve"> </w:t>
      </w:r>
      <w:r w:rsidR="00B44B39" w:rsidRPr="00B44B39">
        <w:rPr>
          <w:rFonts w:eastAsia="Times New Roman"/>
          <w:lang w:val="en-GB"/>
        </w:rPr>
        <w:t xml:space="preserve">to perform lower in </w:t>
      </w:r>
      <w:r w:rsidR="009C7423">
        <w:rPr>
          <w:rFonts w:eastAsia="Times New Roman"/>
          <w:lang w:val="en-GB"/>
        </w:rPr>
        <w:t>one or two</w:t>
      </w:r>
      <w:r w:rsidR="00B44B39" w:rsidRPr="00B44B39">
        <w:rPr>
          <w:rFonts w:eastAsia="Times New Roman"/>
          <w:lang w:val="en-GB"/>
        </w:rPr>
        <w:t xml:space="preserve"> packaging material</w:t>
      </w:r>
      <w:r w:rsidR="009C7423">
        <w:rPr>
          <w:rFonts w:eastAsia="Times New Roman"/>
          <w:lang w:val="en-GB"/>
        </w:rPr>
        <w:t xml:space="preserve">s of </w:t>
      </w:r>
      <w:r w:rsidR="00B44B39" w:rsidRPr="00B44B39">
        <w:rPr>
          <w:rFonts w:eastAsia="Times New Roman"/>
          <w:lang w:val="en-GB"/>
        </w:rPr>
        <w:t>their choice</w:t>
      </w:r>
      <w:r>
        <w:rPr>
          <w:rFonts w:eastAsia="Times New Roman"/>
          <w:lang w:val="en-GB"/>
        </w:rPr>
        <w:t xml:space="preserve"> weakens the deal</w:t>
      </w:r>
      <w:r w:rsidR="00B44B39" w:rsidRPr="00B44B39">
        <w:rPr>
          <w:rFonts w:eastAsia="Times New Roman"/>
          <w:lang w:val="en-GB"/>
        </w:rPr>
        <w:t xml:space="preserve">. </w:t>
      </w:r>
    </w:p>
    <w:p w:rsidR="00E96C78" w:rsidRDefault="00B44B39" w:rsidP="00E96C78">
      <w:pPr>
        <w:spacing w:before="240" w:after="240" w:line="360" w:lineRule="auto"/>
        <w:rPr>
          <w:rFonts w:asciiTheme="minorHAnsi" w:hAnsiTheme="minorHAnsi" w:cs="Arial Hebrew"/>
          <w:lang w:val="en-GB"/>
        </w:rPr>
      </w:pPr>
      <w:r>
        <w:rPr>
          <w:lang w:val="en-GB"/>
        </w:rPr>
        <w:t>APEAL is pleased</w:t>
      </w:r>
      <w:r w:rsidR="00E96C78">
        <w:rPr>
          <w:lang w:val="en-GB"/>
        </w:rPr>
        <w:t xml:space="preserve"> to note the EP has continued to endorse “multiple recycling” and that this is reflected in the final text. </w:t>
      </w:r>
      <w:r w:rsidR="00E96C78" w:rsidRPr="00E210E3">
        <w:rPr>
          <w:rFonts w:asciiTheme="minorHAnsi" w:hAnsiTheme="minorHAnsi" w:cs="Calibri"/>
          <w:lang w:val="en-GB"/>
        </w:rPr>
        <w:t>Through</w:t>
      </w:r>
      <w:r w:rsidR="00E96C78" w:rsidRPr="00E210E3">
        <w:rPr>
          <w:rFonts w:asciiTheme="minorHAnsi" w:hAnsiTheme="minorHAnsi" w:cs="Arial Hebrew"/>
          <w:lang w:val="en-GB"/>
        </w:rPr>
        <w:t xml:space="preserve"> </w:t>
      </w:r>
      <w:r w:rsidR="00E96C78" w:rsidRPr="00E210E3">
        <w:rPr>
          <w:rFonts w:asciiTheme="minorHAnsi" w:hAnsiTheme="minorHAnsi" w:cs="Calibri"/>
          <w:lang w:val="en-GB"/>
        </w:rPr>
        <w:t>multiple</w:t>
      </w:r>
      <w:r w:rsidR="00E96C78" w:rsidRPr="00E210E3">
        <w:rPr>
          <w:rFonts w:asciiTheme="minorHAnsi" w:hAnsiTheme="minorHAnsi" w:cs="Arial Hebrew"/>
          <w:lang w:val="en-GB"/>
        </w:rPr>
        <w:t xml:space="preserve"> </w:t>
      </w:r>
      <w:r w:rsidR="00E96C78" w:rsidRPr="00E210E3">
        <w:rPr>
          <w:rFonts w:asciiTheme="minorHAnsi" w:hAnsiTheme="minorHAnsi" w:cs="Calibri"/>
          <w:lang w:val="en-GB"/>
        </w:rPr>
        <w:t>recycling</w:t>
      </w:r>
      <w:r w:rsidR="00E96C78" w:rsidRPr="00E210E3">
        <w:rPr>
          <w:rFonts w:asciiTheme="minorHAnsi" w:hAnsiTheme="minorHAnsi" w:cs="Arial Hebrew"/>
          <w:lang w:val="en-GB"/>
        </w:rPr>
        <w:t xml:space="preserve">, </w:t>
      </w:r>
      <w:r w:rsidR="00E96C78" w:rsidRPr="00E210E3">
        <w:rPr>
          <w:rFonts w:asciiTheme="minorHAnsi" w:hAnsiTheme="minorHAnsi" w:cs="Calibri"/>
          <w:lang w:val="en-GB"/>
        </w:rPr>
        <w:t>products</w:t>
      </w:r>
      <w:r w:rsidR="00E96C78" w:rsidRPr="00E210E3">
        <w:rPr>
          <w:rFonts w:asciiTheme="minorHAnsi" w:hAnsiTheme="minorHAnsi" w:cs="Arial Hebrew"/>
          <w:lang w:val="en-GB"/>
        </w:rPr>
        <w:t xml:space="preserve"> </w:t>
      </w:r>
      <w:r w:rsidR="00E96C78" w:rsidRPr="00E210E3">
        <w:rPr>
          <w:rFonts w:asciiTheme="minorHAnsi" w:hAnsiTheme="minorHAnsi" w:cs="Calibri"/>
          <w:lang w:val="en-GB"/>
        </w:rPr>
        <w:t>and</w:t>
      </w:r>
      <w:r w:rsidR="00E96C78" w:rsidRPr="00E210E3">
        <w:rPr>
          <w:rFonts w:asciiTheme="minorHAnsi" w:hAnsiTheme="minorHAnsi" w:cs="Arial Hebrew"/>
          <w:lang w:val="en-GB"/>
        </w:rPr>
        <w:t xml:space="preserve"> </w:t>
      </w:r>
      <w:r w:rsidR="00E96C78" w:rsidRPr="00E210E3">
        <w:rPr>
          <w:rFonts w:asciiTheme="minorHAnsi" w:hAnsiTheme="minorHAnsi" w:cs="Calibri"/>
          <w:lang w:val="en-GB"/>
        </w:rPr>
        <w:t>packaging</w:t>
      </w:r>
      <w:r w:rsidR="00E96C78" w:rsidRPr="00E210E3">
        <w:rPr>
          <w:rFonts w:asciiTheme="minorHAnsi" w:hAnsiTheme="minorHAnsi" w:cs="Arial Hebrew"/>
          <w:lang w:val="en-GB"/>
        </w:rPr>
        <w:t xml:space="preserve"> </w:t>
      </w:r>
      <w:r w:rsidR="00E96C78" w:rsidRPr="00E210E3">
        <w:rPr>
          <w:rFonts w:asciiTheme="minorHAnsi" w:hAnsiTheme="minorHAnsi" w:cs="Calibri"/>
          <w:lang w:val="en-GB"/>
        </w:rPr>
        <w:t>made</w:t>
      </w:r>
      <w:r w:rsidR="00E96C78" w:rsidRPr="00E210E3">
        <w:rPr>
          <w:rFonts w:asciiTheme="minorHAnsi" w:hAnsiTheme="minorHAnsi" w:cs="Arial Hebrew"/>
          <w:lang w:val="en-GB"/>
        </w:rPr>
        <w:t xml:space="preserve"> </w:t>
      </w:r>
      <w:r w:rsidR="00E96C78" w:rsidRPr="00E210E3">
        <w:rPr>
          <w:rFonts w:asciiTheme="minorHAnsi" w:hAnsiTheme="minorHAnsi" w:cs="Calibri"/>
          <w:lang w:val="en-GB"/>
        </w:rPr>
        <w:t>from</w:t>
      </w:r>
      <w:r w:rsidR="00E96C78" w:rsidRPr="00E210E3">
        <w:rPr>
          <w:rFonts w:asciiTheme="minorHAnsi" w:hAnsiTheme="minorHAnsi" w:cs="Arial Hebrew"/>
          <w:lang w:val="en-GB"/>
        </w:rPr>
        <w:t xml:space="preserve"> </w:t>
      </w:r>
      <w:r w:rsidR="00E96C78" w:rsidRPr="00E210E3">
        <w:rPr>
          <w:rFonts w:asciiTheme="minorHAnsi" w:hAnsiTheme="minorHAnsi" w:cs="Calibri"/>
          <w:lang w:val="en-GB"/>
        </w:rPr>
        <w:t>permanent</w:t>
      </w:r>
      <w:r w:rsidR="00E96C78" w:rsidRPr="00E210E3">
        <w:rPr>
          <w:rFonts w:asciiTheme="minorHAnsi" w:hAnsiTheme="minorHAnsi" w:cs="Arial Hebrew"/>
          <w:lang w:val="en-GB"/>
        </w:rPr>
        <w:t xml:space="preserve"> </w:t>
      </w:r>
      <w:r w:rsidR="00E96C78" w:rsidRPr="00E210E3">
        <w:rPr>
          <w:rFonts w:asciiTheme="minorHAnsi" w:hAnsiTheme="minorHAnsi" w:cs="Calibri"/>
          <w:lang w:val="en-GB"/>
        </w:rPr>
        <w:t>materials</w:t>
      </w:r>
      <w:r w:rsidR="00E96C78" w:rsidRPr="00E210E3">
        <w:rPr>
          <w:rFonts w:asciiTheme="minorHAnsi" w:hAnsiTheme="minorHAnsi" w:cs="Arial Hebrew"/>
          <w:lang w:val="en-GB"/>
        </w:rPr>
        <w:t xml:space="preserve">, </w:t>
      </w:r>
      <w:r w:rsidR="00E96C78" w:rsidRPr="00E210E3">
        <w:rPr>
          <w:rFonts w:asciiTheme="minorHAnsi" w:hAnsiTheme="minorHAnsi" w:cs="Calibri"/>
          <w:lang w:val="en-GB"/>
        </w:rPr>
        <w:t>such</w:t>
      </w:r>
      <w:r w:rsidR="00E96C78" w:rsidRPr="00E210E3">
        <w:rPr>
          <w:rFonts w:asciiTheme="minorHAnsi" w:hAnsiTheme="minorHAnsi" w:cs="Arial Hebrew"/>
          <w:lang w:val="en-GB"/>
        </w:rPr>
        <w:t xml:space="preserve"> </w:t>
      </w:r>
      <w:r w:rsidR="00E96C78" w:rsidRPr="00E210E3">
        <w:rPr>
          <w:rFonts w:asciiTheme="minorHAnsi" w:hAnsiTheme="minorHAnsi" w:cs="Calibri"/>
          <w:lang w:val="en-GB"/>
        </w:rPr>
        <w:t>as</w:t>
      </w:r>
      <w:r w:rsidR="00E96C78" w:rsidRPr="00E210E3">
        <w:rPr>
          <w:rFonts w:asciiTheme="minorHAnsi" w:hAnsiTheme="minorHAnsi" w:cs="Arial Hebrew"/>
          <w:lang w:val="en-GB"/>
        </w:rPr>
        <w:t xml:space="preserve"> </w:t>
      </w:r>
      <w:r w:rsidR="00E96C78" w:rsidRPr="00E210E3">
        <w:rPr>
          <w:rFonts w:asciiTheme="minorHAnsi" w:hAnsiTheme="minorHAnsi" w:cs="Calibri"/>
          <w:lang w:val="en-GB"/>
        </w:rPr>
        <w:t>steel</w:t>
      </w:r>
      <w:r w:rsidR="00E96C78">
        <w:rPr>
          <w:rFonts w:asciiTheme="minorHAnsi" w:hAnsiTheme="minorHAnsi" w:cs="Calibri"/>
          <w:lang w:val="en-GB"/>
        </w:rPr>
        <w:t>,</w:t>
      </w:r>
      <w:r w:rsidR="00E96C78" w:rsidRPr="00E210E3">
        <w:rPr>
          <w:rFonts w:asciiTheme="minorHAnsi" w:hAnsiTheme="minorHAnsi" w:cs="Arial Hebrew"/>
          <w:lang w:val="en-GB"/>
        </w:rPr>
        <w:t xml:space="preserve"> </w:t>
      </w:r>
      <w:r w:rsidR="00E96C78" w:rsidRPr="00E210E3">
        <w:rPr>
          <w:rFonts w:asciiTheme="minorHAnsi" w:hAnsiTheme="minorHAnsi" w:cs="Calibri"/>
          <w:lang w:val="en-GB"/>
        </w:rPr>
        <w:t>are</w:t>
      </w:r>
      <w:r w:rsidR="00E96C78" w:rsidRPr="00E210E3">
        <w:rPr>
          <w:rFonts w:asciiTheme="minorHAnsi" w:hAnsiTheme="minorHAnsi" w:cs="Arial Hebrew"/>
          <w:lang w:val="en-GB"/>
        </w:rPr>
        <w:t xml:space="preserve"> </w:t>
      </w:r>
      <w:r w:rsidR="00E96C78" w:rsidRPr="00E210E3">
        <w:rPr>
          <w:rFonts w:asciiTheme="minorHAnsi" w:hAnsiTheme="minorHAnsi" w:cs="Calibri"/>
          <w:lang w:val="en-GB"/>
        </w:rPr>
        <w:t>kept</w:t>
      </w:r>
      <w:r w:rsidR="00E96C78" w:rsidRPr="00E210E3">
        <w:rPr>
          <w:rFonts w:asciiTheme="minorHAnsi" w:hAnsiTheme="minorHAnsi" w:cs="Arial Hebrew"/>
          <w:lang w:val="en-GB"/>
        </w:rPr>
        <w:t xml:space="preserve"> </w:t>
      </w:r>
      <w:r w:rsidR="00E96C78" w:rsidRPr="00E210E3">
        <w:rPr>
          <w:rFonts w:asciiTheme="minorHAnsi" w:hAnsiTheme="minorHAnsi" w:cs="Calibri"/>
          <w:lang w:val="en-GB"/>
        </w:rPr>
        <w:t>in</w:t>
      </w:r>
      <w:r w:rsidR="00E96C78" w:rsidRPr="00E210E3">
        <w:rPr>
          <w:rFonts w:asciiTheme="minorHAnsi" w:hAnsiTheme="minorHAnsi" w:cs="Arial Hebrew"/>
          <w:lang w:val="en-GB"/>
        </w:rPr>
        <w:t xml:space="preserve"> </w:t>
      </w:r>
      <w:r w:rsidR="00E96C78" w:rsidRPr="00E210E3">
        <w:rPr>
          <w:rFonts w:asciiTheme="minorHAnsi" w:hAnsiTheme="minorHAnsi" w:cs="Calibri"/>
          <w:lang w:val="en-GB"/>
        </w:rPr>
        <w:t>the</w:t>
      </w:r>
      <w:r w:rsidR="00E96C78" w:rsidRPr="00E210E3">
        <w:rPr>
          <w:rFonts w:asciiTheme="minorHAnsi" w:hAnsiTheme="minorHAnsi" w:cs="Arial Hebrew"/>
          <w:lang w:val="en-GB"/>
        </w:rPr>
        <w:t xml:space="preserve"> </w:t>
      </w:r>
      <w:r w:rsidR="00E96C78" w:rsidRPr="00E210E3">
        <w:rPr>
          <w:rFonts w:asciiTheme="minorHAnsi" w:hAnsiTheme="minorHAnsi" w:cs="Calibri"/>
          <w:lang w:val="en-GB"/>
        </w:rPr>
        <w:t>material</w:t>
      </w:r>
      <w:r w:rsidR="00E96C78" w:rsidRPr="00E210E3">
        <w:rPr>
          <w:rFonts w:asciiTheme="minorHAnsi" w:hAnsiTheme="minorHAnsi" w:cs="Arial Hebrew"/>
          <w:lang w:val="en-GB"/>
        </w:rPr>
        <w:t xml:space="preserve"> </w:t>
      </w:r>
      <w:r w:rsidR="00E96C78" w:rsidRPr="00E210E3">
        <w:rPr>
          <w:rFonts w:asciiTheme="minorHAnsi" w:hAnsiTheme="minorHAnsi" w:cs="Calibri"/>
          <w:lang w:val="en-GB"/>
        </w:rPr>
        <w:t>loop</w:t>
      </w:r>
      <w:r w:rsidR="00E96C78" w:rsidRPr="00E210E3">
        <w:rPr>
          <w:rFonts w:asciiTheme="minorHAnsi" w:hAnsiTheme="minorHAnsi" w:cs="Arial Hebrew"/>
          <w:lang w:val="en-GB"/>
        </w:rPr>
        <w:t xml:space="preserve"> </w:t>
      </w:r>
      <w:r w:rsidR="00E96C78" w:rsidRPr="00E210E3">
        <w:rPr>
          <w:rFonts w:asciiTheme="minorHAnsi" w:hAnsiTheme="minorHAnsi" w:cs="Calibri"/>
          <w:lang w:val="en-GB"/>
        </w:rPr>
        <w:t>and</w:t>
      </w:r>
      <w:r w:rsidR="00E96C78" w:rsidRPr="00E210E3">
        <w:rPr>
          <w:rFonts w:asciiTheme="minorHAnsi" w:hAnsiTheme="minorHAnsi" w:cs="Arial Hebrew"/>
          <w:lang w:val="en-GB"/>
        </w:rPr>
        <w:t xml:space="preserve"> </w:t>
      </w:r>
      <w:r w:rsidR="00E96C78" w:rsidRPr="00E210E3">
        <w:rPr>
          <w:rFonts w:asciiTheme="minorHAnsi" w:hAnsiTheme="minorHAnsi" w:cs="Calibri"/>
          <w:lang w:val="en-GB"/>
        </w:rPr>
        <w:t>can</w:t>
      </w:r>
      <w:r w:rsidR="00E96C78" w:rsidRPr="00E210E3">
        <w:rPr>
          <w:rFonts w:asciiTheme="minorHAnsi" w:hAnsiTheme="minorHAnsi" w:cs="Arial Hebrew"/>
          <w:lang w:val="en-GB"/>
        </w:rPr>
        <w:t xml:space="preserve"> </w:t>
      </w:r>
      <w:r w:rsidR="00E96C78" w:rsidRPr="00E210E3">
        <w:rPr>
          <w:rFonts w:asciiTheme="minorHAnsi" w:hAnsiTheme="minorHAnsi" w:cs="Calibri"/>
          <w:lang w:val="en-GB"/>
        </w:rPr>
        <w:t>become</w:t>
      </w:r>
      <w:r w:rsidR="00E96C78" w:rsidRPr="00E210E3">
        <w:rPr>
          <w:rFonts w:asciiTheme="minorHAnsi" w:hAnsiTheme="minorHAnsi" w:cs="Arial Hebrew"/>
          <w:lang w:val="en-GB"/>
        </w:rPr>
        <w:t xml:space="preserve"> </w:t>
      </w:r>
      <w:r w:rsidR="00E96C78" w:rsidRPr="00E210E3">
        <w:rPr>
          <w:rFonts w:asciiTheme="minorHAnsi" w:hAnsiTheme="minorHAnsi" w:cs="Calibri"/>
          <w:lang w:val="en-GB"/>
        </w:rPr>
        <w:t>resources</w:t>
      </w:r>
      <w:r w:rsidR="00E96C78" w:rsidRPr="00E210E3">
        <w:rPr>
          <w:rFonts w:asciiTheme="minorHAnsi" w:hAnsiTheme="minorHAnsi" w:cs="Arial Hebrew"/>
          <w:lang w:val="en-GB"/>
        </w:rPr>
        <w:t xml:space="preserve"> </w:t>
      </w:r>
      <w:r w:rsidR="00E96C78" w:rsidRPr="00E210E3">
        <w:rPr>
          <w:rFonts w:asciiTheme="minorHAnsi" w:hAnsiTheme="minorHAnsi" w:cs="Calibri"/>
          <w:lang w:val="en-GB"/>
        </w:rPr>
        <w:t>for</w:t>
      </w:r>
      <w:r w:rsidR="00E96C78" w:rsidRPr="00E210E3">
        <w:rPr>
          <w:rFonts w:asciiTheme="minorHAnsi" w:hAnsiTheme="minorHAnsi" w:cs="Arial Hebrew"/>
          <w:lang w:val="en-GB"/>
        </w:rPr>
        <w:t xml:space="preserve"> </w:t>
      </w:r>
      <w:r w:rsidR="00E96C78" w:rsidRPr="00E210E3">
        <w:rPr>
          <w:rFonts w:asciiTheme="minorHAnsi" w:hAnsiTheme="minorHAnsi" w:cs="Calibri"/>
          <w:lang w:val="en-GB"/>
        </w:rPr>
        <w:t>other</w:t>
      </w:r>
      <w:r w:rsidR="00E96C78" w:rsidRPr="00E210E3">
        <w:rPr>
          <w:rFonts w:asciiTheme="minorHAnsi" w:hAnsiTheme="minorHAnsi" w:cs="Arial Hebrew"/>
          <w:lang w:val="en-GB"/>
        </w:rPr>
        <w:t xml:space="preserve"> </w:t>
      </w:r>
      <w:r w:rsidR="00E96C78" w:rsidRPr="00E210E3">
        <w:rPr>
          <w:rFonts w:asciiTheme="minorHAnsi" w:hAnsiTheme="minorHAnsi" w:cs="Calibri"/>
          <w:lang w:val="en-GB"/>
        </w:rPr>
        <w:t>products</w:t>
      </w:r>
      <w:r w:rsidR="00E96C78" w:rsidRPr="00E210E3">
        <w:rPr>
          <w:rFonts w:asciiTheme="minorHAnsi" w:hAnsiTheme="minorHAnsi" w:cs="Arial Hebrew"/>
          <w:lang w:val="en-GB"/>
        </w:rPr>
        <w:t xml:space="preserve"> </w:t>
      </w:r>
      <w:r w:rsidR="00E96C78" w:rsidRPr="00E210E3">
        <w:rPr>
          <w:rFonts w:asciiTheme="minorHAnsi" w:hAnsiTheme="minorHAnsi" w:cs="Calibri"/>
          <w:lang w:val="en-GB"/>
        </w:rPr>
        <w:t>and</w:t>
      </w:r>
      <w:r w:rsidR="00E96C78" w:rsidRPr="00E210E3">
        <w:rPr>
          <w:rFonts w:asciiTheme="minorHAnsi" w:hAnsiTheme="minorHAnsi" w:cs="Arial Hebrew"/>
          <w:lang w:val="en-GB"/>
        </w:rPr>
        <w:t xml:space="preserve"> </w:t>
      </w:r>
      <w:r w:rsidR="00E96C78" w:rsidRPr="00E210E3">
        <w:rPr>
          <w:rFonts w:asciiTheme="minorHAnsi" w:hAnsiTheme="minorHAnsi" w:cs="Calibri"/>
          <w:lang w:val="en-GB"/>
        </w:rPr>
        <w:t>packaging</w:t>
      </w:r>
      <w:r w:rsidR="00E96C78" w:rsidRPr="00E210E3">
        <w:rPr>
          <w:rFonts w:asciiTheme="minorHAnsi" w:hAnsiTheme="minorHAnsi" w:cs="Arial Hebrew"/>
          <w:lang w:val="en-GB"/>
        </w:rPr>
        <w:t>.</w:t>
      </w:r>
    </w:p>
    <w:p w:rsidR="00F56803" w:rsidRPr="00B047E8" w:rsidRDefault="00F56803" w:rsidP="00F63998">
      <w:pPr>
        <w:spacing w:before="240" w:after="240" w:line="360" w:lineRule="auto"/>
        <w:rPr>
          <w:rStyle w:val="IntenseEmphasis"/>
          <w:lang w:val="en-US"/>
        </w:rPr>
      </w:pPr>
      <w:r w:rsidRPr="00724A9F">
        <w:rPr>
          <w:lang w:val="en-GB"/>
        </w:rPr>
        <w:t>We also</w:t>
      </w:r>
      <w:r w:rsidRPr="00724A9F">
        <w:rPr>
          <w:b/>
          <w:i/>
          <w:lang w:val="en-GB"/>
        </w:rPr>
        <w:t xml:space="preserve"> </w:t>
      </w:r>
      <w:r w:rsidRPr="00724A9F">
        <w:rPr>
          <w:lang w:val="en-GB"/>
        </w:rPr>
        <w:t>welcome the maintaining of the ‘internal market’ legal base of the PPWD</w:t>
      </w:r>
      <w:r w:rsidRPr="00724A9F">
        <w:rPr>
          <w:vertAlign w:val="superscript"/>
          <w:lang w:val="en-GB"/>
        </w:rPr>
        <w:t>2</w:t>
      </w:r>
      <w:r w:rsidRPr="00724A9F">
        <w:rPr>
          <w:lang w:val="en-GB"/>
        </w:rPr>
        <w:t xml:space="preserve">.  APEAL, along with a large number of national and EU industries had repeatedly called for the safeguarding of the </w:t>
      </w:r>
      <w:r w:rsidRPr="00724A9F">
        <w:rPr>
          <w:lang w:val="en-GB"/>
        </w:rPr>
        <w:lastRenderedPageBreak/>
        <w:t xml:space="preserve">Internal market and the free circulation of packaging and packaged goods in order to avoid differences in interpretation or implementation. </w:t>
      </w:r>
    </w:p>
    <w:p w:rsidR="004B3A8C" w:rsidRDefault="004B3A8C" w:rsidP="004B3A8C">
      <w:pPr>
        <w:spacing w:before="240" w:after="240" w:line="360" w:lineRule="auto"/>
        <w:rPr>
          <w:lang w:val="en-GB"/>
        </w:rPr>
      </w:pPr>
      <w:r>
        <w:rPr>
          <w:lang w:val="en-GB"/>
        </w:rPr>
        <w:t>To reach</w:t>
      </w:r>
      <w:r w:rsidRPr="0019406B">
        <w:rPr>
          <w:lang w:val="en-GB"/>
        </w:rPr>
        <w:t xml:space="preserve"> th</w:t>
      </w:r>
      <w:r>
        <w:rPr>
          <w:lang w:val="en-GB"/>
        </w:rPr>
        <w:t>e</w:t>
      </w:r>
      <w:r w:rsidRPr="0019406B">
        <w:rPr>
          <w:lang w:val="en-GB"/>
        </w:rPr>
        <w:t xml:space="preserve"> objective </w:t>
      </w:r>
      <w:r>
        <w:rPr>
          <w:lang w:val="en-GB"/>
        </w:rPr>
        <w:t xml:space="preserve">of a truly circular economy in Europe, </w:t>
      </w:r>
      <w:r w:rsidRPr="0019406B">
        <w:rPr>
          <w:lang w:val="en-GB"/>
        </w:rPr>
        <w:t xml:space="preserve">and reap the full environmental and economic benefits of recycling, </w:t>
      </w:r>
      <w:r>
        <w:rPr>
          <w:lang w:val="en-GB"/>
        </w:rPr>
        <w:t xml:space="preserve">APEAL now urges </w:t>
      </w:r>
      <w:r w:rsidR="002131EE">
        <w:rPr>
          <w:lang w:val="en-GB"/>
        </w:rPr>
        <w:t>M</w:t>
      </w:r>
      <w:r w:rsidRPr="0019406B">
        <w:rPr>
          <w:lang w:val="en-GB"/>
        </w:rPr>
        <w:t xml:space="preserve">ember </w:t>
      </w:r>
      <w:r w:rsidR="002131EE">
        <w:rPr>
          <w:lang w:val="en-GB"/>
        </w:rPr>
        <w:t>S</w:t>
      </w:r>
      <w:r w:rsidRPr="0019406B">
        <w:rPr>
          <w:lang w:val="en-GB"/>
        </w:rPr>
        <w:t xml:space="preserve">tates </w:t>
      </w:r>
      <w:r>
        <w:rPr>
          <w:lang w:val="en-GB"/>
        </w:rPr>
        <w:t>to invest in the necessary infrastructure so that the recycling targets can be met for all packaging materials.</w:t>
      </w:r>
    </w:p>
    <w:p w:rsidR="00AA38E0" w:rsidRDefault="00AA38E0" w:rsidP="00AA38E0">
      <w:pPr>
        <w:spacing w:before="240" w:after="240" w:line="360" w:lineRule="auto"/>
        <w:rPr>
          <w:lang w:val="en-US"/>
        </w:rPr>
      </w:pPr>
      <w:r>
        <w:rPr>
          <w:rFonts w:asciiTheme="minorHAnsi" w:hAnsiTheme="minorHAnsi" w:cstheme="minorBidi"/>
          <w:color w:val="000000" w:themeColor="text1"/>
          <w:lang w:val="en-GB"/>
        </w:rPr>
        <w:t xml:space="preserve">“The switch from a </w:t>
      </w:r>
      <w:r>
        <w:rPr>
          <w:color w:val="000000" w:themeColor="text1"/>
          <w:lang w:val="en-GB"/>
        </w:rPr>
        <w:t xml:space="preserve">linear to circular economy is a concept that is supported globally by our industry and as an advanced industrial sector we wholly support this paradigm shift,” said </w:t>
      </w:r>
      <w:r>
        <w:rPr>
          <w:bCs/>
          <w:lang w:val="en-GB"/>
        </w:rPr>
        <w:t>Alexis</w:t>
      </w:r>
      <w:r>
        <w:rPr>
          <w:lang w:val="en-GB"/>
        </w:rPr>
        <w:t> Van Maercke</w:t>
      </w:r>
      <w:r>
        <w:rPr>
          <w:lang w:val="en-US"/>
        </w:rPr>
        <w:t xml:space="preserve">, secretary general of APEAL. </w:t>
      </w:r>
    </w:p>
    <w:p w:rsidR="007B1006" w:rsidRPr="00AA38E0" w:rsidRDefault="00AA38E0" w:rsidP="004F4B99">
      <w:pPr>
        <w:spacing w:before="240" w:after="240" w:line="360" w:lineRule="auto"/>
        <w:rPr>
          <w:lang w:val="en-US"/>
        </w:rPr>
      </w:pPr>
      <w:r>
        <w:rPr>
          <w:lang w:val="en-US"/>
        </w:rPr>
        <w:t>“</w:t>
      </w:r>
      <w:r>
        <w:rPr>
          <w:color w:val="000000" w:themeColor="text1"/>
          <w:lang w:val="en-GB"/>
        </w:rPr>
        <w:t>Implementing the CEP as soon as possible in the Member States will bring numerous benefits and APEAL is committed to work with the European Commission and all stakeholders to help achieve this.”</w:t>
      </w:r>
    </w:p>
    <w:tbl>
      <w:tblPr>
        <w:tblW w:w="9708" w:type="dxa"/>
        <w:tblLook w:val="00A0" w:firstRow="1" w:lastRow="0" w:firstColumn="1" w:lastColumn="0" w:noHBand="0" w:noVBand="0"/>
      </w:tblPr>
      <w:tblGrid>
        <w:gridCol w:w="5542"/>
        <w:gridCol w:w="4166"/>
      </w:tblGrid>
      <w:tr w:rsidR="00EA1D3A" w:rsidRPr="00C413B3" w:rsidTr="0068354F">
        <w:trPr>
          <w:trHeight w:val="2220"/>
        </w:trPr>
        <w:tc>
          <w:tcPr>
            <w:tcW w:w="5542" w:type="dxa"/>
          </w:tcPr>
          <w:p w:rsidR="0052599A" w:rsidRPr="00EA1D3A" w:rsidRDefault="003162D3" w:rsidP="0068354F">
            <w:pPr>
              <w:pStyle w:val="FootnoteText"/>
              <w:rPr>
                <w:rStyle w:val="FootnoteReference"/>
                <w:i/>
                <w:sz w:val="24"/>
                <w:szCs w:val="24"/>
                <w:u w:val="single"/>
                <w:vertAlign w:val="baseline"/>
                <w:lang w:val="en-GB"/>
              </w:rPr>
            </w:pPr>
            <w:r>
              <w:rPr>
                <w:rFonts w:ascii="Arial" w:eastAsia="Times New Roman" w:hAnsi="Arial"/>
                <w:b/>
                <w:caps/>
                <w:color w:val="566B73"/>
                <w:sz w:val="26"/>
                <w:szCs w:val="26"/>
                <w:lang w:val="en-GB"/>
              </w:rPr>
              <w:br w:type="page"/>
            </w:r>
            <w:r w:rsidR="0052599A" w:rsidRPr="00EA1D3A">
              <w:rPr>
                <w:rStyle w:val="FootnoteReference"/>
                <w:i/>
                <w:sz w:val="24"/>
                <w:szCs w:val="24"/>
                <w:u w:val="single"/>
                <w:vertAlign w:val="baseline"/>
                <w:lang w:val="en-GB"/>
              </w:rPr>
              <w:t>Media enquiries:</w:t>
            </w:r>
          </w:p>
          <w:p w:rsidR="0052599A" w:rsidRPr="00EA1D3A" w:rsidRDefault="0052599A" w:rsidP="0068354F">
            <w:pPr>
              <w:pStyle w:val="FootnoteText"/>
              <w:rPr>
                <w:rStyle w:val="FootnoteReference"/>
                <w:sz w:val="24"/>
                <w:szCs w:val="24"/>
                <w:vertAlign w:val="baseline"/>
                <w:lang w:val="en-GB"/>
              </w:rPr>
            </w:pPr>
          </w:p>
          <w:p w:rsidR="0052599A" w:rsidRPr="00EA1D3A" w:rsidRDefault="003A1781" w:rsidP="0068354F">
            <w:pPr>
              <w:pStyle w:val="FootnoteText"/>
              <w:rPr>
                <w:rStyle w:val="FootnoteReference"/>
                <w:sz w:val="24"/>
                <w:szCs w:val="24"/>
                <w:vertAlign w:val="baseline"/>
                <w:lang w:val="en-GB"/>
              </w:rPr>
            </w:pPr>
            <w:r>
              <w:rPr>
                <w:rStyle w:val="FootnoteReference"/>
                <w:sz w:val="24"/>
                <w:szCs w:val="24"/>
                <w:vertAlign w:val="baseline"/>
                <w:lang w:val="en-GB"/>
              </w:rPr>
              <w:t>Will Herman</w:t>
            </w:r>
          </w:p>
          <w:p w:rsidR="0052599A" w:rsidRPr="00EA1D3A" w:rsidRDefault="00031A14" w:rsidP="0068354F">
            <w:pPr>
              <w:pStyle w:val="FootnoteText"/>
              <w:rPr>
                <w:rStyle w:val="FootnoteReference"/>
                <w:sz w:val="24"/>
                <w:szCs w:val="24"/>
                <w:vertAlign w:val="baseline"/>
                <w:lang w:val="en-GB"/>
              </w:rPr>
            </w:pPr>
            <w:r>
              <w:rPr>
                <w:rStyle w:val="FootnoteReference"/>
                <w:sz w:val="24"/>
                <w:szCs w:val="24"/>
                <w:vertAlign w:val="baseline"/>
                <w:lang w:val="en-GB"/>
              </w:rPr>
              <w:t xml:space="preserve">Pelican Communications </w:t>
            </w:r>
          </w:p>
          <w:p w:rsidR="009C1182" w:rsidRDefault="0052599A" w:rsidP="0068354F">
            <w:pPr>
              <w:pStyle w:val="FootnoteText"/>
              <w:rPr>
                <w:rStyle w:val="Hyperlink"/>
                <w:sz w:val="24"/>
                <w:szCs w:val="24"/>
                <w:lang w:val="en-GB"/>
              </w:rPr>
            </w:pPr>
            <w:r w:rsidRPr="00EA1D3A">
              <w:rPr>
                <w:rStyle w:val="FootnoteReference"/>
                <w:sz w:val="24"/>
                <w:szCs w:val="24"/>
                <w:vertAlign w:val="baseline"/>
                <w:lang w:val="en-GB"/>
              </w:rPr>
              <w:t xml:space="preserve">Email: </w:t>
            </w:r>
            <w:hyperlink r:id="rId8" w:history="1">
              <w:r w:rsidR="003A1781" w:rsidRPr="0023720F">
                <w:rPr>
                  <w:rStyle w:val="Hyperlink"/>
                  <w:sz w:val="24"/>
                  <w:szCs w:val="24"/>
                  <w:lang w:val="en-GB"/>
                </w:rPr>
                <w:t>will.herman@pelicomms.co.uk</w:t>
              </w:r>
            </w:hyperlink>
          </w:p>
          <w:p w:rsidR="0052599A" w:rsidRPr="00EA1D3A" w:rsidRDefault="009C1182" w:rsidP="002C6DB4">
            <w:pPr>
              <w:pStyle w:val="FootnoteText"/>
              <w:rPr>
                <w:sz w:val="24"/>
                <w:szCs w:val="24"/>
                <w:lang w:val="en-GB"/>
              </w:rPr>
            </w:pPr>
            <w:r>
              <w:rPr>
                <w:sz w:val="24"/>
                <w:szCs w:val="24"/>
                <w:lang w:val="en-GB"/>
              </w:rPr>
              <w:t>00 +44 (0)1457 820807</w:t>
            </w:r>
          </w:p>
          <w:p w:rsidR="0052599A" w:rsidRPr="00EA1D3A" w:rsidRDefault="0052599A" w:rsidP="00C76250">
            <w:pPr>
              <w:pStyle w:val="FootnoteText"/>
              <w:rPr>
                <w:rStyle w:val="FootnoteReference"/>
                <w:sz w:val="24"/>
                <w:szCs w:val="24"/>
                <w:vertAlign w:val="baseline"/>
                <w:lang w:val="en-GB"/>
              </w:rPr>
            </w:pPr>
          </w:p>
        </w:tc>
        <w:tc>
          <w:tcPr>
            <w:tcW w:w="4166" w:type="dxa"/>
          </w:tcPr>
          <w:p w:rsidR="0052599A" w:rsidRPr="00EA1D3A" w:rsidRDefault="0052599A" w:rsidP="0068354F">
            <w:pPr>
              <w:pStyle w:val="FootnoteText"/>
              <w:rPr>
                <w:rStyle w:val="FootnoteReference"/>
                <w:i/>
                <w:sz w:val="24"/>
                <w:szCs w:val="24"/>
                <w:u w:val="single"/>
                <w:vertAlign w:val="baseline"/>
                <w:lang w:val="en-GB"/>
              </w:rPr>
            </w:pPr>
            <w:r w:rsidRPr="00EA1D3A">
              <w:rPr>
                <w:rStyle w:val="FootnoteReference"/>
                <w:i/>
                <w:sz w:val="24"/>
                <w:szCs w:val="24"/>
                <w:u w:val="single"/>
                <w:vertAlign w:val="baseline"/>
                <w:lang w:val="en-GB"/>
              </w:rPr>
              <w:t xml:space="preserve">APEAL: </w:t>
            </w:r>
          </w:p>
          <w:p w:rsidR="0052599A" w:rsidRPr="00EA1D3A" w:rsidRDefault="0052599A" w:rsidP="0068354F">
            <w:pPr>
              <w:pStyle w:val="FootnoteText"/>
              <w:rPr>
                <w:rStyle w:val="FootnoteReference"/>
                <w:sz w:val="24"/>
                <w:szCs w:val="24"/>
                <w:vertAlign w:val="baseline"/>
                <w:lang w:val="en-GB"/>
              </w:rPr>
            </w:pPr>
          </w:p>
          <w:p w:rsidR="0052599A" w:rsidRPr="00EA1D3A" w:rsidRDefault="0052599A" w:rsidP="002C6DB4">
            <w:pPr>
              <w:pStyle w:val="FootnoteText"/>
              <w:rPr>
                <w:rStyle w:val="FootnoteReference"/>
                <w:sz w:val="24"/>
                <w:szCs w:val="24"/>
                <w:vertAlign w:val="baseline"/>
                <w:lang w:val="en-GB"/>
              </w:rPr>
            </w:pPr>
            <w:r w:rsidRPr="00EA1D3A">
              <w:rPr>
                <w:rStyle w:val="FootnoteReference"/>
                <w:sz w:val="24"/>
                <w:szCs w:val="24"/>
                <w:vertAlign w:val="baseline"/>
                <w:lang w:val="en-GB"/>
              </w:rPr>
              <w:t>Patricia Mobbs</w:t>
            </w:r>
          </w:p>
          <w:p w:rsidR="0052599A" w:rsidRPr="00EA1D3A" w:rsidRDefault="0052599A" w:rsidP="002C6DB4">
            <w:pPr>
              <w:pStyle w:val="FootnoteText"/>
              <w:rPr>
                <w:rStyle w:val="FootnoteReference"/>
                <w:sz w:val="24"/>
                <w:szCs w:val="24"/>
                <w:vertAlign w:val="baseline"/>
                <w:lang w:val="en-GB"/>
              </w:rPr>
            </w:pPr>
            <w:r w:rsidRPr="00EA1D3A">
              <w:rPr>
                <w:rStyle w:val="FootnoteReference"/>
                <w:sz w:val="24"/>
                <w:szCs w:val="24"/>
                <w:vertAlign w:val="baseline"/>
                <w:lang w:val="en-GB"/>
              </w:rPr>
              <w:t>Communications Manager</w:t>
            </w:r>
          </w:p>
          <w:p w:rsidR="0052599A" w:rsidRPr="00C76250" w:rsidRDefault="0052599A" w:rsidP="002C6DB4">
            <w:pPr>
              <w:pStyle w:val="FootnoteText"/>
              <w:rPr>
                <w:sz w:val="24"/>
                <w:szCs w:val="24"/>
                <w:lang w:val="en-GB"/>
              </w:rPr>
            </w:pPr>
            <w:r w:rsidRPr="00EA1D3A">
              <w:rPr>
                <w:rStyle w:val="FootnoteReference"/>
                <w:sz w:val="24"/>
                <w:szCs w:val="24"/>
                <w:vertAlign w:val="baseline"/>
                <w:lang w:val="en-GB"/>
              </w:rPr>
              <w:t xml:space="preserve">E-mail: </w:t>
            </w:r>
            <w:hyperlink r:id="rId9" w:history="1">
              <w:r w:rsidRPr="00EA1D3A">
                <w:rPr>
                  <w:rStyle w:val="FootnoteReference"/>
                  <w:sz w:val="24"/>
                  <w:szCs w:val="24"/>
                  <w:vertAlign w:val="baseline"/>
                  <w:lang w:val="en-GB"/>
                </w:rPr>
                <w:t>p.mobbs@apeal.be</w:t>
              </w:r>
            </w:hyperlink>
          </w:p>
          <w:p w:rsidR="0052599A" w:rsidRPr="00EA1D3A" w:rsidRDefault="002E2CC7" w:rsidP="002C6DB4">
            <w:pPr>
              <w:pStyle w:val="FootnoteText"/>
              <w:rPr>
                <w:rStyle w:val="FootnoteReference"/>
                <w:sz w:val="24"/>
                <w:szCs w:val="24"/>
                <w:vertAlign w:val="baseline"/>
                <w:lang w:val="en-GB"/>
              </w:rPr>
            </w:pPr>
            <w:hyperlink r:id="rId10" w:history="1">
              <w:r w:rsidR="0052599A" w:rsidRPr="00EA1D3A">
                <w:rPr>
                  <w:rStyle w:val="Hyperlink"/>
                  <w:color w:val="auto"/>
                  <w:sz w:val="24"/>
                  <w:szCs w:val="24"/>
                  <w:lang w:val="en-GB"/>
                </w:rPr>
                <w:t>www.apeal.org</w:t>
              </w:r>
            </w:hyperlink>
            <w:r w:rsidR="0052599A" w:rsidRPr="00EA1D3A">
              <w:rPr>
                <w:rStyle w:val="FootnoteReference"/>
                <w:sz w:val="24"/>
                <w:szCs w:val="24"/>
                <w:vertAlign w:val="baseline"/>
                <w:lang w:val="en-GB"/>
              </w:rPr>
              <w:t xml:space="preserve">  </w:t>
            </w:r>
          </w:p>
          <w:p w:rsidR="0052599A" w:rsidRPr="00EA1D3A" w:rsidRDefault="002E2CC7" w:rsidP="0068354F">
            <w:pPr>
              <w:pStyle w:val="FootnoteText"/>
              <w:rPr>
                <w:sz w:val="24"/>
                <w:szCs w:val="24"/>
                <w:lang w:val="en-GB"/>
              </w:rPr>
            </w:pPr>
            <w:hyperlink r:id="rId11" w:history="1">
              <w:r w:rsidR="0052599A" w:rsidRPr="00EA1D3A">
                <w:rPr>
                  <w:rStyle w:val="Hyperlink"/>
                  <w:color w:val="auto"/>
                  <w:sz w:val="24"/>
                  <w:szCs w:val="24"/>
                  <w:lang w:val="en-GB"/>
                </w:rPr>
                <w:t>www.steelforpackaging.org</w:t>
              </w:r>
            </w:hyperlink>
          </w:p>
          <w:p w:rsidR="0052599A" w:rsidRPr="00EA1D3A" w:rsidRDefault="0052599A" w:rsidP="0068354F">
            <w:pPr>
              <w:pStyle w:val="FootnoteText"/>
              <w:rPr>
                <w:rStyle w:val="FootnoteReference"/>
                <w:sz w:val="24"/>
                <w:szCs w:val="24"/>
                <w:vertAlign w:val="baseline"/>
                <w:lang w:val="en-GB"/>
              </w:rPr>
            </w:pPr>
          </w:p>
          <w:p w:rsidR="0052599A" w:rsidRPr="00EA1D3A" w:rsidRDefault="0052599A" w:rsidP="0068354F">
            <w:pPr>
              <w:pStyle w:val="FootnoteText"/>
              <w:rPr>
                <w:rStyle w:val="FootnoteReference"/>
                <w:sz w:val="24"/>
                <w:szCs w:val="24"/>
                <w:vertAlign w:val="baseline"/>
                <w:lang w:val="en-GB"/>
              </w:rPr>
            </w:pPr>
          </w:p>
        </w:tc>
      </w:tr>
    </w:tbl>
    <w:p w:rsidR="00C76250" w:rsidRDefault="00C76250" w:rsidP="002C6DB4">
      <w:pPr>
        <w:pStyle w:val="FootnoteText"/>
        <w:rPr>
          <w:rFonts w:cs="Calibri"/>
          <w:b/>
          <w:lang w:val="en-GB"/>
        </w:rPr>
      </w:pPr>
    </w:p>
    <w:p w:rsidR="0052599A" w:rsidRPr="00BD3334" w:rsidRDefault="0052599A" w:rsidP="00BD3334">
      <w:pPr>
        <w:spacing w:after="0" w:line="240" w:lineRule="auto"/>
        <w:rPr>
          <w:rFonts w:cs="Calibri"/>
          <w:b/>
          <w:sz w:val="20"/>
          <w:szCs w:val="20"/>
          <w:lang w:val="en-GB"/>
        </w:rPr>
      </w:pPr>
      <w:r w:rsidRPr="00EA1D3A">
        <w:rPr>
          <w:rFonts w:cs="Calibri"/>
          <w:b/>
          <w:lang w:val="en-GB"/>
        </w:rPr>
        <w:t>About APEAL</w:t>
      </w:r>
    </w:p>
    <w:p w:rsidR="0052599A" w:rsidRPr="00EA1D3A" w:rsidRDefault="0052599A" w:rsidP="002C6DB4">
      <w:pPr>
        <w:pStyle w:val="FootnoteText"/>
        <w:rPr>
          <w:vertAlign w:val="superscript"/>
          <w:lang w:val="en-GB"/>
        </w:rPr>
      </w:pPr>
      <w:r w:rsidRPr="00EA1D3A">
        <w:rPr>
          <w:rFonts w:cs="Calibri"/>
          <w:lang w:val="en-GB"/>
        </w:rPr>
        <w:t>APEAL - the Association of European Producers of Steel for Packaging is a federation of four multi-national producers of steel for packaging (Arcelo</w:t>
      </w:r>
      <w:r w:rsidR="00B778FB">
        <w:rPr>
          <w:rFonts w:cs="Calibri"/>
          <w:lang w:val="en-GB"/>
        </w:rPr>
        <w:t>rMittal, Tata Steel, thyssenk</w:t>
      </w:r>
      <w:r w:rsidRPr="00EA1D3A">
        <w:rPr>
          <w:rFonts w:cs="Calibri"/>
          <w:lang w:val="en-GB"/>
        </w:rPr>
        <w:t xml:space="preserve">rupp Rasselstein, U.S. Steel Košice). In total these four companies employ over 200,000 workers in </w:t>
      </w:r>
      <w:smartTag w:uri="urn:schemas-microsoft-com:office:smarttags" w:element="place">
        <w:r w:rsidRPr="00EA1D3A">
          <w:rPr>
            <w:rFonts w:cs="Calibri"/>
            <w:lang w:val="en-GB"/>
          </w:rPr>
          <w:t>Europe</w:t>
        </w:r>
      </w:smartTag>
      <w:r w:rsidRPr="00EA1D3A">
        <w:rPr>
          <w:rFonts w:cs="Calibri"/>
          <w:lang w:val="en-GB"/>
        </w:rPr>
        <w:t>. Founded in 1986, APEAL represents today about 95% of the total European production of steel for packaging.</w:t>
      </w:r>
    </w:p>
    <w:p w:rsidR="0052599A" w:rsidRPr="00EA1D3A" w:rsidRDefault="0052599A" w:rsidP="002C6DB4">
      <w:pPr>
        <w:pStyle w:val="FootnoteText"/>
        <w:rPr>
          <w:lang w:val="en-GB"/>
        </w:rPr>
      </w:pPr>
    </w:p>
    <w:p w:rsidR="0052599A" w:rsidRPr="00EA1D3A" w:rsidRDefault="0052599A" w:rsidP="002C6DB4">
      <w:pPr>
        <w:pStyle w:val="FootnoteText"/>
        <w:rPr>
          <w:rFonts w:cs="Calibri"/>
          <w:b/>
          <w:lang w:val="en-GB"/>
        </w:rPr>
      </w:pPr>
      <w:r w:rsidRPr="00EA1D3A">
        <w:rPr>
          <w:rFonts w:cs="Calibri"/>
          <w:b/>
          <w:lang w:val="en-GB"/>
        </w:rPr>
        <w:t>About Steel for Packaging</w:t>
      </w:r>
    </w:p>
    <w:p w:rsidR="001B449F" w:rsidRPr="00B44B39" w:rsidRDefault="0052599A" w:rsidP="00B44B39">
      <w:pPr>
        <w:spacing w:line="240" w:lineRule="auto"/>
        <w:rPr>
          <w:rFonts w:cs="Calibri"/>
          <w:sz w:val="20"/>
          <w:szCs w:val="20"/>
          <w:lang w:val="en-GB"/>
        </w:rPr>
      </w:pPr>
      <w:r w:rsidRPr="00EA1D3A">
        <w:rPr>
          <w:rFonts w:cs="Calibri"/>
          <w:sz w:val="20"/>
          <w:szCs w:val="20"/>
          <w:lang w:val="en-GB"/>
        </w:rPr>
        <w:t>Steel is a unique packaging material, combining exceptional performance capabilities with unrivalled environmental credentials. Strong, formable and long-lasting, steel offers numerous benefits for the safe packaging of a wide variety of products.</w:t>
      </w:r>
    </w:p>
    <w:p w:rsidR="00BF391F" w:rsidRDefault="00BF391F">
      <w:pPr>
        <w:spacing w:after="0" w:line="240" w:lineRule="auto"/>
        <w:rPr>
          <w:lang w:val="en-GB"/>
        </w:rPr>
      </w:pPr>
    </w:p>
    <w:p w:rsidR="00526818" w:rsidRDefault="00526818" w:rsidP="00526818">
      <w:pPr>
        <w:spacing w:after="0" w:line="240" w:lineRule="auto"/>
        <w:rPr>
          <w:lang w:val="en-GB"/>
        </w:rPr>
      </w:pPr>
      <w:r w:rsidRPr="00BF391F">
        <w:rPr>
          <w:vertAlign w:val="superscript"/>
          <w:lang w:val="en-GB"/>
        </w:rPr>
        <w:t>1</w:t>
      </w:r>
      <w:r>
        <w:rPr>
          <w:lang w:val="en-GB"/>
        </w:rPr>
        <w:t xml:space="preserve"> Source APEAL, verified by independent </w:t>
      </w:r>
      <w:r w:rsidRPr="003222C6">
        <w:rPr>
          <w:lang w:val="en-GB"/>
        </w:rPr>
        <w:t>energy and waste specialist consultancy, Eunomia</w:t>
      </w:r>
    </w:p>
    <w:p w:rsidR="00BF391F" w:rsidRDefault="00526818">
      <w:pPr>
        <w:spacing w:after="0" w:line="240" w:lineRule="auto"/>
        <w:rPr>
          <w:lang w:val="en-GB"/>
        </w:rPr>
      </w:pPr>
      <w:r w:rsidRPr="004E2C8B">
        <w:rPr>
          <w:vertAlign w:val="superscript"/>
          <w:lang w:val="en-GB"/>
        </w:rPr>
        <w:t>2</w:t>
      </w:r>
      <w:r>
        <w:rPr>
          <w:lang w:val="en-GB"/>
        </w:rPr>
        <w:t xml:space="preserve"> Packaging and Packaging Waste framework Directive</w:t>
      </w:r>
    </w:p>
    <w:sectPr w:rsidR="00BF391F" w:rsidSect="00060854">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350" w:rsidRDefault="00CF2350" w:rsidP="006E648F">
      <w:pPr>
        <w:spacing w:after="0" w:line="240" w:lineRule="auto"/>
      </w:pPr>
      <w:r>
        <w:separator/>
      </w:r>
    </w:p>
  </w:endnote>
  <w:endnote w:type="continuationSeparator" w:id="0">
    <w:p w:rsidR="00CF2350" w:rsidRDefault="00CF2350" w:rsidP="006E6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Hebrew">
    <w:altName w:val="Arial"/>
    <w:charset w:val="B1"/>
    <w:family w:val="auto"/>
    <w:pitch w:val="variable"/>
    <w:sig w:usb0="80000843" w:usb1="4000200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6AC" w:rsidRDefault="004316AC" w:rsidP="006D2B21">
    <w:pPr>
      <w:pStyle w:val="Footer"/>
      <w:jc w:val="right"/>
      <w:rPr>
        <w:b/>
        <w:color w:val="566B73"/>
        <w:sz w:val="16"/>
        <w:szCs w:val="16"/>
        <w:lang w:val="en-US"/>
      </w:rPr>
    </w:pPr>
  </w:p>
  <w:p w:rsidR="004316AC" w:rsidRPr="006D2B21" w:rsidRDefault="004316AC" w:rsidP="006D2B21">
    <w:pPr>
      <w:pStyle w:val="Footer"/>
      <w:jc w:val="right"/>
      <w:rPr>
        <w:b/>
        <w:color w:val="566B73"/>
        <w:sz w:val="16"/>
        <w:szCs w:val="16"/>
        <w:lang w:val="en-US"/>
      </w:rPr>
    </w:pPr>
    <w:r w:rsidRPr="006D2B21">
      <w:rPr>
        <w:b/>
        <w:color w:val="566B73"/>
        <w:sz w:val="16"/>
        <w:szCs w:val="16"/>
        <w:lang w:val="en-US"/>
      </w:rPr>
      <w:t>APEAL - The Association of European Producers of Steel for Packaging</w:t>
    </w:r>
  </w:p>
  <w:p w:rsidR="004316AC" w:rsidRPr="006D2B21" w:rsidRDefault="004316AC" w:rsidP="006D2B21">
    <w:pPr>
      <w:pStyle w:val="Footer"/>
      <w:jc w:val="right"/>
      <w:rPr>
        <w:color w:val="566B73"/>
        <w:sz w:val="16"/>
        <w:szCs w:val="16"/>
        <w:lang w:val="en-US"/>
      </w:rPr>
    </w:pPr>
    <w:r>
      <w:rPr>
        <w:noProof/>
        <w:lang w:eastAsia="fr-BE"/>
      </w:rPr>
      <w:drawing>
        <wp:anchor distT="0" distB="0" distL="114300" distR="114300" simplePos="0" relativeHeight="251656704" behindDoc="0" locked="0" layoutInCell="1" allowOverlap="1" wp14:anchorId="395328B0" wp14:editId="464CB81C">
          <wp:simplePos x="0" y="0"/>
          <wp:positionH relativeFrom="column">
            <wp:posOffset>17145</wp:posOffset>
          </wp:positionH>
          <wp:positionV relativeFrom="paragraph">
            <wp:posOffset>52705</wp:posOffset>
          </wp:positionV>
          <wp:extent cx="984250" cy="29400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294005"/>
                  </a:xfrm>
                  <a:prstGeom prst="rect">
                    <a:avLst/>
                  </a:prstGeom>
                  <a:noFill/>
                </pic:spPr>
              </pic:pic>
            </a:graphicData>
          </a:graphic>
        </wp:anchor>
      </w:drawing>
    </w:r>
    <w:r w:rsidRPr="002C6DB4">
      <w:rPr>
        <w:noProof/>
        <w:color w:val="566B73"/>
        <w:sz w:val="16"/>
        <w:szCs w:val="16"/>
        <w:lang w:val="en-GB" w:eastAsia="fr-BE"/>
      </w:rPr>
      <w:t xml:space="preserve">Avenue Ariane, 5 </w:t>
    </w:r>
    <w:r>
      <w:rPr>
        <w:color w:val="566B73"/>
        <w:sz w:val="16"/>
        <w:szCs w:val="16"/>
        <w:lang w:val="en-US"/>
      </w:rPr>
      <w:t xml:space="preserve"> - BE-120</w:t>
    </w:r>
    <w:r w:rsidRPr="006D2B21">
      <w:rPr>
        <w:color w:val="566B73"/>
        <w:sz w:val="16"/>
        <w:szCs w:val="16"/>
        <w:lang w:val="en-US"/>
      </w:rPr>
      <w:t xml:space="preserve">0 </w:t>
    </w:r>
    <w:smartTag w:uri="urn:schemas-microsoft-com:office:smarttags" w:element="City">
      <w:r w:rsidRPr="006D2B21">
        <w:rPr>
          <w:color w:val="566B73"/>
          <w:sz w:val="16"/>
          <w:szCs w:val="16"/>
          <w:lang w:val="en-US"/>
        </w:rPr>
        <w:t>Brussels</w:t>
      </w:r>
    </w:smartTag>
    <w:r w:rsidRPr="006D2B21">
      <w:rPr>
        <w:color w:val="566B73"/>
        <w:sz w:val="16"/>
        <w:szCs w:val="16"/>
        <w:lang w:val="en-US"/>
      </w:rPr>
      <w:t xml:space="preserve"> - </w:t>
    </w:r>
    <w:smartTag w:uri="urn:schemas-microsoft-com:office:smarttags" w:element="place">
      <w:smartTag w:uri="urn:schemas-microsoft-com:office:smarttags" w:element="country-region">
        <w:r w:rsidRPr="006D2B21">
          <w:rPr>
            <w:color w:val="566B73"/>
            <w:sz w:val="16"/>
            <w:szCs w:val="16"/>
            <w:lang w:val="en-US"/>
          </w:rPr>
          <w:t>Belgium</w:t>
        </w:r>
      </w:smartTag>
    </w:smartTag>
  </w:p>
  <w:p w:rsidR="004316AC" w:rsidRPr="006D2B21" w:rsidRDefault="004316AC" w:rsidP="006D2B21">
    <w:pPr>
      <w:pStyle w:val="Footer"/>
      <w:jc w:val="right"/>
      <w:rPr>
        <w:color w:val="566B73"/>
        <w:sz w:val="16"/>
        <w:szCs w:val="16"/>
        <w:lang w:val="en-US"/>
      </w:rPr>
    </w:pPr>
    <w:r w:rsidRPr="006D2B21">
      <w:rPr>
        <w:color w:val="566B73"/>
        <w:sz w:val="16"/>
        <w:szCs w:val="16"/>
        <w:lang w:val="en-US"/>
      </w:rPr>
      <w:t>Tel: +32 (2) 537 91 51 - Fax: +32 (2) 537 86 49</w:t>
    </w:r>
  </w:p>
  <w:p w:rsidR="004316AC" w:rsidRPr="006D2B21" w:rsidRDefault="004316AC" w:rsidP="006D2B21">
    <w:pPr>
      <w:pStyle w:val="Footer"/>
      <w:jc w:val="right"/>
      <w:rPr>
        <w:color w:val="566B73"/>
        <w:sz w:val="16"/>
        <w:szCs w:val="16"/>
      </w:rPr>
    </w:pPr>
    <w:r w:rsidRPr="006D2B21">
      <w:rPr>
        <w:color w:val="566B73"/>
        <w:sz w:val="16"/>
        <w:szCs w:val="16"/>
      </w:rPr>
      <w:t>Email: info@apeal.be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6AC" w:rsidRPr="006D2B21" w:rsidRDefault="004316AC" w:rsidP="00B0783A">
    <w:pPr>
      <w:pStyle w:val="Footer"/>
      <w:jc w:val="right"/>
      <w:rPr>
        <w:b/>
        <w:color w:val="566B73"/>
        <w:sz w:val="16"/>
        <w:szCs w:val="16"/>
        <w:lang w:val="en-US"/>
      </w:rPr>
    </w:pPr>
    <w:r w:rsidRPr="006D2B21">
      <w:rPr>
        <w:b/>
        <w:color w:val="566B73"/>
        <w:sz w:val="16"/>
        <w:szCs w:val="16"/>
        <w:lang w:val="en-US"/>
      </w:rPr>
      <w:t>APEAL - The Association of European Producers of Steel for Packaging</w:t>
    </w:r>
  </w:p>
  <w:p w:rsidR="004316AC" w:rsidRPr="006D2B21" w:rsidRDefault="004316AC" w:rsidP="00B0783A">
    <w:pPr>
      <w:pStyle w:val="Footer"/>
      <w:jc w:val="right"/>
      <w:rPr>
        <w:color w:val="566B73"/>
        <w:sz w:val="16"/>
        <w:szCs w:val="16"/>
        <w:lang w:val="en-US"/>
      </w:rPr>
    </w:pPr>
    <w:r>
      <w:rPr>
        <w:noProof/>
        <w:lang w:eastAsia="fr-BE"/>
      </w:rPr>
      <w:drawing>
        <wp:anchor distT="0" distB="0" distL="114300" distR="114300" simplePos="0" relativeHeight="251657728" behindDoc="0" locked="0" layoutInCell="1" allowOverlap="1" wp14:anchorId="0EA11255" wp14:editId="54490C90">
          <wp:simplePos x="0" y="0"/>
          <wp:positionH relativeFrom="column">
            <wp:posOffset>17145</wp:posOffset>
          </wp:positionH>
          <wp:positionV relativeFrom="paragraph">
            <wp:posOffset>52705</wp:posOffset>
          </wp:positionV>
          <wp:extent cx="984250" cy="29400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294005"/>
                  </a:xfrm>
                  <a:prstGeom prst="rect">
                    <a:avLst/>
                  </a:prstGeom>
                  <a:noFill/>
                </pic:spPr>
              </pic:pic>
            </a:graphicData>
          </a:graphic>
        </wp:anchor>
      </w:drawing>
    </w:r>
    <w:r>
      <w:rPr>
        <w:color w:val="566B73"/>
        <w:sz w:val="16"/>
        <w:szCs w:val="16"/>
        <w:lang w:val="en-US"/>
      </w:rPr>
      <w:t>Avenue Ariane</w:t>
    </w:r>
    <w:r w:rsidRPr="006D2B21">
      <w:rPr>
        <w:color w:val="566B73"/>
        <w:sz w:val="16"/>
        <w:szCs w:val="16"/>
        <w:lang w:val="en-US"/>
      </w:rPr>
      <w:t>,</w:t>
    </w:r>
    <w:r>
      <w:rPr>
        <w:color w:val="566B73"/>
        <w:sz w:val="16"/>
        <w:szCs w:val="16"/>
        <w:lang w:val="en-US"/>
      </w:rPr>
      <w:t xml:space="preserve"> 5</w:t>
    </w:r>
    <w:r w:rsidRPr="006D2B21">
      <w:rPr>
        <w:color w:val="566B73"/>
        <w:sz w:val="16"/>
        <w:szCs w:val="16"/>
        <w:lang w:val="en-US"/>
      </w:rPr>
      <w:t xml:space="preserve"> - BE-1</w:t>
    </w:r>
    <w:r>
      <w:rPr>
        <w:color w:val="566B73"/>
        <w:sz w:val="16"/>
        <w:szCs w:val="16"/>
        <w:lang w:val="en-US"/>
      </w:rPr>
      <w:t>200</w:t>
    </w:r>
    <w:r w:rsidRPr="006D2B21">
      <w:rPr>
        <w:color w:val="566B73"/>
        <w:sz w:val="16"/>
        <w:szCs w:val="16"/>
        <w:lang w:val="en-US"/>
      </w:rPr>
      <w:t xml:space="preserve"> </w:t>
    </w:r>
    <w:smartTag w:uri="urn:schemas-microsoft-com:office:smarttags" w:element="City">
      <w:r w:rsidRPr="006D2B21">
        <w:rPr>
          <w:color w:val="566B73"/>
          <w:sz w:val="16"/>
          <w:szCs w:val="16"/>
          <w:lang w:val="en-US"/>
        </w:rPr>
        <w:t>Brussels</w:t>
      </w:r>
    </w:smartTag>
    <w:r w:rsidRPr="006D2B21">
      <w:rPr>
        <w:color w:val="566B73"/>
        <w:sz w:val="16"/>
        <w:szCs w:val="16"/>
        <w:lang w:val="en-US"/>
      </w:rPr>
      <w:t xml:space="preserve"> - </w:t>
    </w:r>
    <w:smartTag w:uri="urn:schemas-microsoft-com:office:smarttags" w:element="place">
      <w:smartTag w:uri="urn:schemas-microsoft-com:office:smarttags" w:element="country-region">
        <w:r w:rsidRPr="006D2B21">
          <w:rPr>
            <w:color w:val="566B73"/>
            <w:sz w:val="16"/>
            <w:szCs w:val="16"/>
            <w:lang w:val="en-US"/>
          </w:rPr>
          <w:t>Belgium</w:t>
        </w:r>
      </w:smartTag>
    </w:smartTag>
  </w:p>
  <w:p w:rsidR="004316AC" w:rsidRPr="006D2B21" w:rsidRDefault="004316AC" w:rsidP="00B0783A">
    <w:pPr>
      <w:pStyle w:val="Footer"/>
      <w:jc w:val="right"/>
      <w:rPr>
        <w:color w:val="566B73"/>
        <w:sz w:val="16"/>
        <w:szCs w:val="16"/>
        <w:lang w:val="en-US"/>
      </w:rPr>
    </w:pPr>
    <w:r w:rsidRPr="006D2B21">
      <w:rPr>
        <w:color w:val="566B73"/>
        <w:sz w:val="16"/>
        <w:szCs w:val="16"/>
        <w:lang w:val="en-US"/>
      </w:rPr>
      <w:t>Tel: +32 (2) 537 91 51 - Fax: +32 (2) 537 86 49</w:t>
    </w:r>
  </w:p>
  <w:p w:rsidR="004316AC" w:rsidRPr="00B0783A" w:rsidRDefault="004316AC" w:rsidP="00B0783A">
    <w:pPr>
      <w:pStyle w:val="Footer"/>
      <w:jc w:val="right"/>
      <w:rPr>
        <w:color w:val="566B73"/>
        <w:sz w:val="16"/>
        <w:szCs w:val="16"/>
      </w:rPr>
    </w:pPr>
    <w:r w:rsidRPr="006D2B21">
      <w:rPr>
        <w:color w:val="566B73"/>
        <w:sz w:val="16"/>
        <w:szCs w:val="16"/>
      </w:rPr>
      <w:t>Email: info@apeal.be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350" w:rsidRDefault="00CF2350" w:rsidP="006E648F">
      <w:pPr>
        <w:spacing w:after="0" w:line="240" w:lineRule="auto"/>
      </w:pPr>
      <w:r>
        <w:separator/>
      </w:r>
    </w:p>
  </w:footnote>
  <w:footnote w:type="continuationSeparator" w:id="0">
    <w:p w:rsidR="00CF2350" w:rsidRDefault="00CF2350" w:rsidP="006E6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6AC" w:rsidRDefault="004316AC" w:rsidP="00060854">
    <w:pPr>
      <w:pStyle w:val="Header"/>
    </w:pPr>
    <w:r>
      <w:rPr>
        <w:noProof/>
        <w:lang w:eastAsia="fr-BE"/>
      </w:rPr>
      <w:drawing>
        <wp:anchor distT="0" distB="0" distL="114300" distR="114300" simplePos="0" relativeHeight="251658752" behindDoc="1" locked="0" layoutInCell="1" allowOverlap="1" wp14:anchorId="083FF1A7" wp14:editId="1826413A">
          <wp:simplePos x="0" y="0"/>
          <wp:positionH relativeFrom="column">
            <wp:posOffset>3815715</wp:posOffset>
          </wp:positionH>
          <wp:positionV relativeFrom="paragraph">
            <wp:posOffset>3810</wp:posOffset>
          </wp:positionV>
          <wp:extent cx="2080260" cy="490220"/>
          <wp:effectExtent l="0" t="0" r="0" b="5080"/>
          <wp:wrapNone/>
          <wp:docPr id="2" name="Picture 2" descr="STEELforPACK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ELforPACKAG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490220"/>
                  </a:xfrm>
                  <a:prstGeom prst="rect">
                    <a:avLst/>
                  </a:prstGeom>
                  <a:noFill/>
                </pic:spPr>
              </pic:pic>
            </a:graphicData>
          </a:graphic>
        </wp:anchor>
      </w:drawing>
    </w:r>
  </w:p>
  <w:p w:rsidR="004316AC" w:rsidRDefault="004316AC" w:rsidP="00060854">
    <w:pPr>
      <w:pStyle w:val="Header"/>
    </w:pPr>
  </w:p>
  <w:p w:rsidR="004316AC" w:rsidRDefault="004316AC" w:rsidP="00060854">
    <w:pPr>
      <w:pStyle w:val="Header"/>
    </w:pPr>
  </w:p>
  <w:p w:rsidR="004316AC" w:rsidRDefault="004316AC" w:rsidP="00060854">
    <w:pPr>
      <w:pStyle w:val="Header"/>
    </w:pPr>
  </w:p>
  <w:tbl>
    <w:tblPr>
      <w:tblW w:w="10774" w:type="dxa"/>
      <w:tblInd w:w="-1310" w:type="dxa"/>
      <w:tblBorders>
        <w:top w:val="single" w:sz="12" w:space="0" w:color="A6A6A6"/>
        <w:bottom w:val="single" w:sz="12" w:space="0" w:color="A6A6A6"/>
        <w:insideV w:val="single" w:sz="12" w:space="0" w:color="A6A6A6"/>
      </w:tblBorders>
      <w:tblLayout w:type="fixed"/>
      <w:tblLook w:val="00A0" w:firstRow="1" w:lastRow="0" w:firstColumn="1" w:lastColumn="0" w:noHBand="0" w:noVBand="0"/>
    </w:tblPr>
    <w:tblGrid>
      <w:gridCol w:w="4679"/>
      <w:gridCol w:w="1701"/>
      <w:gridCol w:w="4394"/>
    </w:tblGrid>
    <w:tr w:rsidR="004316AC" w:rsidRPr="00A23DE6" w:rsidTr="00B0783A">
      <w:trPr>
        <w:trHeight w:val="454"/>
      </w:trPr>
      <w:tc>
        <w:tcPr>
          <w:tcW w:w="4679" w:type="dxa"/>
          <w:vMerge w:val="restart"/>
          <w:tcBorders>
            <w:top w:val="single" w:sz="12" w:space="0" w:color="566B73"/>
            <w:bottom w:val="nil"/>
            <w:right w:val="single" w:sz="12" w:space="0" w:color="566B73"/>
          </w:tcBorders>
          <w:vAlign w:val="bottom"/>
        </w:tcPr>
        <w:p w:rsidR="004316AC" w:rsidRPr="00A23DE6" w:rsidRDefault="004316AC" w:rsidP="006A03BF">
          <w:pPr>
            <w:pStyle w:val="Header"/>
            <w:spacing w:line="168" w:lineRule="auto"/>
            <w:ind w:left="1026"/>
            <w:rPr>
              <w:color w:val="566B73"/>
              <w:sz w:val="90"/>
              <w:szCs w:val="90"/>
              <w:lang w:val="en-US"/>
            </w:rPr>
          </w:pPr>
          <w:r w:rsidRPr="00A23DE6">
            <w:rPr>
              <w:color w:val="566B73"/>
              <w:sz w:val="90"/>
              <w:szCs w:val="90"/>
              <w:lang w:val="en-US"/>
            </w:rPr>
            <w:t>PRESS</w:t>
          </w:r>
          <w:r w:rsidRPr="00A23DE6">
            <w:rPr>
              <w:color w:val="566B73"/>
              <w:sz w:val="90"/>
              <w:szCs w:val="90"/>
              <w:lang w:val="en-US"/>
            </w:rPr>
            <w:br/>
            <w:t>RELEASE</w:t>
          </w:r>
        </w:p>
      </w:tc>
      <w:tc>
        <w:tcPr>
          <w:tcW w:w="1701" w:type="dxa"/>
          <w:tcBorders>
            <w:top w:val="single" w:sz="12" w:space="0" w:color="566B73"/>
            <w:left w:val="single" w:sz="12" w:space="0" w:color="566B73"/>
            <w:bottom w:val="nil"/>
            <w:right w:val="nil"/>
          </w:tcBorders>
          <w:vAlign w:val="center"/>
        </w:tcPr>
        <w:p w:rsidR="004316AC" w:rsidRPr="00A23DE6" w:rsidRDefault="004316AC" w:rsidP="006A03BF">
          <w:pPr>
            <w:pStyle w:val="Header"/>
            <w:rPr>
              <w:b/>
              <w:color w:val="566B73"/>
              <w:sz w:val="20"/>
              <w:szCs w:val="20"/>
              <w:lang w:val="en-US"/>
            </w:rPr>
          </w:pPr>
          <w:r w:rsidRPr="00A23DE6">
            <w:rPr>
              <w:b/>
              <w:color w:val="566B73"/>
              <w:sz w:val="20"/>
              <w:szCs w:val="20"/>
              <w:lang w:val="en-US"/>
            </w:rPr>
            <w:t>Contact Person</w:t>
          </w:r>
        </w:p>
      </w:tc>
      <w:tc>
        <w:tcPr>
          <w:tcW w:w="4394" w:type="dxa"/>
          <w:tcBorders>
            <w:top w:val="single" w:sz="12" w:space="0" w:color="566B73"/>
            <w:left w:val="nil"/>
            <w:bottom w:val="nil"/>
          </w:tcBorders>
          <w:vAlign w:val="center"/>
        </w:tcPr>
        <w:p w:rsidR="004316AC" w:rsidRPr="00A23DE6" w:rsidRDefault="004316AC" w:rsidP="006A03BF">
          <w:pPr>
            <w:pStyle w:val="Header"/>
            <w:rPr>
              <w:color w:val="566B73"/>
              <w:sz w:val="20"/>
              <w:szCs w:val="20"/>
              <w:lang w:val="en-US"/>
            </w:rPr>
          </w:pPr>
          <w:r>
            <w:rPr>
              <w:color w:val="566B73"/>
              <w:sz w:val="20"/>
              <w:szCs w:val="20"/>
              <w:lang w:val="en-US"/>
            </w:rPr>
            <w:t xml:space="preserve">Will Herman </w:t>
          </w:r>
        </w:p>
      </w:tc>
    </w:tr>
    <w:tr w:rsidR="004316AC" w:rsidRPr="00A23DE6" w:rsidTr="00B0783A">
      <w:trPr>
        <w:trHeight w:val="454"/>
      </w:trPr>
      <w:tc>
        <w:tcPr>
          <w:tcW w:w="4679" w:type="dxa"/>
          <w:vMerge/>
          <w:tcBorders>
            <w:top w:val="nil"/>
            <w:bottom w:val="nil"/>
            <w:right w:val="single" w:sz="12" w:space="0" w:color="566B73"/>
          </w:tcBorders>
        </w:tcPr>
        <w:p w:rsidR="004316AC" w:rsidRPr="00A23DE6" w:rsidRDefault="004316AC" w:rsidP="006A03BF">
          <w:pPr>
            <w:pStyle w:val="Header"/>
            <w:ind w:left="1026"/>
            <w:rPr>
              <w:lang w:val="en-US"/>
            </w:rPr>
          </w:pPr>
        </w:p>
      </w:tc>
      <w:tc>
        <w:tcPr>
          <w:tcW w:w="1701" w:type="dxa"/>
          <w:tcBorders>
            <w:top w:val="nil"/>
            <w:left w:val="single" w:sz="12" w:space="0" w:color="566B73"/>
            <w:bottom w:val="nil"/>
            <w:right w:val="nil"/>
          </w:tcBorders>
          <w:vAlign w:val="center"/>
        </w:tcPr>
        <w:p w:rsidR="004316AC" w:rsidRPr="00A23DE6" w:rsidRDefault="004316AC" w:rsidP="006A03BF">
          <w:pPr>
            <w:pStyle w:val="Header"/>
            <w:rPr>
              <w:b/>
              <w:color w:val="566B73"/>
              <w:sz w:val="20"/>
              <w:szCs w:val="20"/>
              <w:lang w:val="en-US"/>
            </w:rPr>
          </w:pPr>
          <w:r w:rsidRPr="00A23DE6">
            <w:rPr>
              <w:b/>
              <w:color w:val="566B73"/>
              <w:sz w:val="20"/>
              <w:szCs w:val="20"/>
              <w:lang w:val="en-US"/>
            </w:rPr>
            <w:t>Company</w:t>
          </w:r>
        </w:p>
      </w:tc>
      <w:tc>
        <w:tcPr>
          <w:tcW w:w="4394" w:type="dxa"/>
          <w:tcBorders>
            <w:top w:val="nil"/>
            <w:left w:val="nil"/>
            <w:bottom w:val="nil"/>
          </w:tcBorders>
          <w:vAlign w:val="center"/>
        </w:tcPr>
        <w:p w:rsidR="004316AC" w:rsidRPr="00A23DE6" w:rsidRDefault="004316AC" w:rsidP="00060043">
          <w:pPr>
            <w:pStyle w:val="Header"/>
            <w:rPr>
              <w:color w:val="566B73"/>
              <w:sz w:val="20"/>
              <w:szCs w:val="20"/>
              <w:lang w:val="en-US"/>
            </w:rPr>
          </w:pPr>
          <w:r>
            <w:rPr>
              <w:color w:val="566B73"/>
              <w:sz w:val="20"/>
              <w:szCs w:val="20"/>
              <w:lang w:val="en-US"/>
            </w:rPr>
            <w:t>Pelican Communications</w:t>
          </w:r>
        </w:p>
      </w:tc>
    </w:tr>
    <w:tr w:rsidR="004316AC" w:rsidRPr="00C413B3" w:rsidTr="00B0783A">
      <w:trPr>
        <w:trHeight w:val="454"/>
      </w:trPr>
      <w:tc>
        <w:tcPr>
          <w:tcW w:w="4679" w:type="dxa"/>
          <w:vMerge/>
          <w:tcBorders>
            <w:top w:val="nil"/>
            <w:bottom w:val="nil"/>
            <w:right w:val="single" w:sz="12" w:space="0" w:color="566B73"/>
          </w:tcBorders>
        </w:tcPr>
        <w:p w:rsidR="004316AC" w:rsidRPr="00A23DE6" w:rsidRDefault="004316AC" w:rsidP="006A03BF">
          <w:pPr>
            <w:pStyle w:val="Header"/>
            <w:ind w:left="1026"/>
            <w:rPr>
              <w:lang w:val="en-US"/>
            </w:rPr>
          </w:pPr>
        </w:p>
      </w:tc>
      <w:tc>
        <w:tcPr>
          <w:tcW w:w="1701" w:type="dxa"/>
          <w:tcBorders>
            <w:top w:val="nil"/>
            <w:left w:val="single" w:sz="12" w:space="0" w:color="566B73"/>
            <w:bottom w:val="nil"/>
            <w:right w:val="nil"/>
          </w:tcBorders>
          <w:vAlign w:val="center"/>
        </w:tcPr>
        <w:p w:rsidR="004316AC" w:rsidRPr="00A23DE6" w:rsidRDefault="004316AC" w:rsidP="006A03BF">
          <w:pPr>
            <w:pStyle w:val="Header"/>
            <w:rPr>
              <w:b/>
              <w:color w:val="566B73"/>
              <w:sz w:val="20"/>
              <w:szCs w:val="20"/>
              <w:lang w:val="en-US"/>
            </w:rPr>
          </w:pPr>
          <w:r w:rsidRPr="00A23DE6">
            <w:rPr>
              <w:b/>
              <w:color w:val="566B73"/>
              <w:sz w:val="20"/>
              <w:szCs w:val="20"/>
              <w:lang w:val="en-US"/>
            </w:rPr>
            <w:t>E-mail address</w:t>
          </w:r>
        </w:p>
      </w:tc>
      <w:tc>
        <w:tcPr>
          <w:tcW w:w="4394" w:type="dxa"/>
          <w:tcBorders>
            <w:top w:val="nil"/>
            <w:left w:val="nil"/>
            <w:bottom w:val="nil"/>
          </w:tcBorders>
          <w:vAlign w:val="center"/>
        </w:tcPr>
        <w:p w:rsidR="004316AC" w:rsidRPr="00A23DE6" w:rsidRDefault="004316AC" w:rsidP="006A03BF">
          <w:pPr>
            <w:pStyle w:val="Header"/>
            <w:rPr>
              <w:color w:val="566B73"/>
              <w:sz w:val="20"/>
              <w:szCs w:val="20"/>
              <w:lang w:val="en-US"/>
            </w:rPr>
          </w:pPr>
          <w:r>
            <w:rPr>
              <w:color w:val="566B73"/>
              <w:sz w:val="20"/>
              <w:szCs w:val="20"/>
              <w:lang w:val="en-US"/>
            </w:rPr>
            <w:t>Will.herman@pelicomms.co.uk</w:t>
          </w:r>
        </w:p>
      </w:tc>
    </w:tr>
    <w:tr w:rsidR="004316AC" w:rsidRPr="003C2789" w:rsidTr="00B0783A">
      <w:trPr>
        <w:trHeight w:val="454"/>
      </w:trPr>
      <w:tc>
        <w:tcPr>
          <w:tcW w:w="4679" w:type="dxa"/>
          <w:vMerge/>
          <w:tcBorders>
            <w:top w:val="nil"/>
            <w:bottom w:val="nil"/>
            <w:right w:val="single" w:sz="12" w:space="0" w:color="566B73"/>
          </w:tcBorders>
        </w:tcPr>
        <w:p w:rsidR="004316AC" w:rsidRPr="00A23DE6" w:rsidRDefault="004316AC" w:rsidP="006A03BF">
          <w:pPr>
            <w:pStyle w:val="Header"/>
            <w:ind w:left="1026"/>
            <w:rPr>
              <w:lang w:val="en-US"/>
            </w:rPr>
          </w:pPr>
        </w:p>
      </w:tc>
      <w:tc>
        <w:tcPr>
          <w:tcW w:w="1701" w:type="dxa"/>
          <w:tcBorders>
            <w:top w:val="nil"/>
            <w:left w:val="single" w:sz="12" w:space="0" w:color="566B73"/>
            <w:bottom w:val="nil"/>
            <w:right w:val="nil"/>
          </w:tcBorders>
          <w:vAlign w:val="center"/>
        </w:tcPr>
        <w:p w:rsidR="004316AC" w:rsidRPr="00A23DE6" w:rsidRDefault="004316AC" w:rsidP="006A03BF">
          <w:pPr>
            <w:pStyle w:val="Header"/>
            <w:rPr>
              <w:b/>
              <w:color w:val="566B73"/>
              <w:sz w:val="20"/>
              <w:szCs w:val="20"/>
              <w:lang w:val="en-US"/>
            </w:rPr>
          </w:pPr>
          <w:r w:rsidRPr="00A23DE6">
            <w:rPr>
              <w:b/>
              <w:color w:val="566B73"/>
              <w:sz w:val="20"/>
              <w:szCs w:val="20"/>
              <w:lang w:val="en-US"/>
            </w:rPr>
            <w:t>Reference</w:t>
          </w:r>
        </w:p>
      </w:tc>
      <w:tc>
        <w:tcPr>
          <w:tcW w:w="4394" w:type="dxa"/>
          <w:tcBorders>
            <w:top w:val="nil"/>
            <w:left w:val="nil"/>
            <w:bottom w:val="nil"/>
          </w:tcBorders>
          <w:vAlign w:val="center"/>
        </w:tcPr>
        <w:p w:rsidR="004316AC" w:rsidRPr="00F44B2E" w:rsidRDefault="004316AC" w:rsidP="00CA3254">
          <w:pPr>
            <w:pStyle w:val="Header"/>
            <w:rPr>
              <w:color w:val="566B73"/>
              <w:sz w:val="20"/>
              <w:szCs w:val="20"/>
              <w:lang w:val="en-GB"/>
            </w:rPr>
          </w:pPr>
        </w:p>
      </w:tc>
    </w:tr>
    <w:tr w:rsidR="004316AC" w:rsidRPr="003C2789" w:rsidTr="00B0783A">
      <w:trPr>
        <w:trHeight w:val="454"/>
      </w:trPr>
      <w:tc>
        <w:tcPr>
          <w:tcW w:w="4679" w:type="dxa"/>
          <w:vMerge/>
          <w:tcBorders>
            <w:top w:val="nil"/>
            <w:bottom w:val="nil"/>
            <w:right w:val="single" w:sz="12" w:space="0" w:color="566B73"/>
          </w:tcBorders>
        </w:tcPr>
        <w:p w:rsidR="004316AC" w:rsidRPr="00F44B2E" w:rsidRDefault="004316AC" w:rsidP="006A03BF">
          <w:pPr>
            <w:pStyle w:val="Header"/>
            <w:ind w:left="1026"/>
            <w:rPr>
              <w:lang w:val="en-GB"/>
            </w:rPr>
          </w:pPr>
        </w:p>
      </w:tc>
      <w:tc>
        <w:tcPr>
          <w:tcW w:w="1701" w:type="dxa"/>
          <w:tcBorders>
            <w:top w:val="nil"/>
            <w:left w:val="single" w:sz="12" w:space="0" w:color="566B73"/>
            <w:bottom w:val="nil"/>
            <w:right w:val="nil"/>
          </w:tcBorders>
          <w:vAlign w:val="center"/>
        </w:tcPr>
        <w:p w:rsidR="004316AC" w:rsidRPr="00F44B2E" w:rsidRDefault="004316AC" w:rsidP="006A03BF">
          <w:pPr>
            <w:pStyle w:val="Header"/>
            <w:rPr>
              <w:b/>
              <w:color w:val="566B73"/>
              <w:sz w:val="20"/>
              <w:szCs w:val="20"/>
              <w:lang w:val="en-GB"/>
            </w:rPr>
          </w:pPr>
          <w:r w:rsidRPr="00F44B2E">
            <w:rPr>
              <w:b/>
              <w:color w:val="566B73"/>
              <w:sz w:val="20"/>
              <w:szCs w:val="20"/>
              <w:lang w:val="en-GB"/>
            </w:rPr>
            <w:t>Number of pages</w:t>
          </w:r>
        </w:p>
      </w:tc>
      <w:tc>
        <w:tcPr>
          <w:tcW w:w="4394" w:type="dxa"/>
          <w:tcBorders>
            <w:top w:val="nil"/>
            <w:left w:val="nil"/>
            <w:bottom w:val="nil"/>
          </w:tcBorders>
          <w:vAlign w:val="center"/>
        </w:tcPr>
        <w:p w:rsidR="004316AC" w:rsidRPr="00F44B2E" w:rsidRDefault="004316AC" w:rsidP="006A03BF">
          <w:pPr>
            <w:pStyle w:val="Header"/>
            <w:rPr>
              <w:color w:val="566B73"/>
              <w:sz w:val="20"/>
              <w:szCs w:val="20"/>
              <w:lang w:val="en-GB"/>
            </w:rPr>
          </w:pPr>
          <w:r>
            <w:rPr>
              <w:color w:val="566B73"/>
              <w:sz w:val="20"/>
              <w:szCs w:val="20"/>
              <w:lang w:val="en-GB"/>
            </w:rPr>
            <w:t>2</w:t>
          </w:r>
        </w:p>
      </w:tc>
    </w:tr>
    <w:tr w:rsidR="004316AC" w:rsidRPr="00C413B3" w:rsidTr="00B0783A">
      <w:trPr>
        <w:trHeight w:val="454"/>
      </w:trPr>
      <w:tc>
        <w:tcPr>
          <w:tcW w:w="4679" w:type="dxa"/>
          <w:tcBorders>
            <w:top w:val="nil"/>
            <w:bottom w:val="single" w:sz="12" w:space="0" w:color="566B73"/>
            <w:right w:val="single" w:sz="12" w:space="0" w:color="566B73"/>
          </w:tcBorders>
        </w:tcPr>
        <w:p w:rsidR="004316AC" w:rsidRPr="00F44B2E" w:rsidRDefault="001E410B" w:rsidP="000A11D7">
          <w:pPr>
            <w:pStyle w:val="Header"/>
            <w:ind w:left="1026"/>
            <w:rPr>
              <w:color w:val="566B73"/>
              <w:sz w:val="28"/>
              <w:szCs w:val="28"/>
              <w:lang w:val="en-GB"/>
            </w:rPr>
          </w:pPr>
          <w:r>
            <w:rPr>
              <w:color w:val="566B73"/>
              <w:sz w:val="28"/>
              <w:szCs w:val="28"/>
              <w:lang w:val="en-GB"/>
            </w:rPr>
            <w:t>1</w:t>
          </w:r>
          <w:r w:rsidR="00F56803">
            <w:rPr>
              <w:color w:val="566B73"/>
              <w:sz w:val="28"/>
              <w:szCs w:val="28"/>
              <w:lang w:val="en-GB"/>
            </w:rPr>
            <w:t>9</w:t>
          </w:r>
          <w:r w:rsidRPr="001E410B">
            <w:rPr>
              <w:color w:val="566B73"/>
              <w:sz w:val="28"/>
              <w:szCs w:val="28"/>
              <w:vertAlign w:val="superscript"/>
              <w:lang w:val="en-GB"/>
            </w:rPr>
            <w:t>th</w:t>
          </w:r>
          <w:r>
            <w:rPr>
              <w:color w:val="566B73"/>
              <w:sz w:val="28"/>
              <w:szCs w:val="28"/>
              <w:lang w:val="en-GB"/>
            </w:rPr>
            <w:t xml:space="preserve"> December</w:t>
          </w:r>
          <w:r w:rsidR="007530FD">
            <w:rPr>
              <w:color w:val="566B73"/>
              <w:sz w:val="28"/>
              <w:szCs w:val="28"/>
              <w:lang w:val="en-GB"/>
            </w:rPr>
            <w:t xml:space="preserve"> 2017</w:t>
          </w:r>
        </w:p>
      </w:tc>
      <w:tc>
        <w:tcPr>
          <w:tcW w:w="1701" w:type="dxa"/>
          <w:tcBorders>
            <w:top w:val="nil"/>
            <w:left w:val="single" w:sz="12" w:space="0" w:color="566B73"/>
            <w:bottom w:val="single" w:sz="12" w:space="0" w:color="566B73"/>
            <w:right w:val="nil"/>
          </w:tcBorders>
          <w:vAlign w:val="center"/>
        </w:tcPr>
        <w:p w:rsidR="004316AC" w:rsidRPr="00F44B2E" w:rsidRDefault="004316AC" w:rsidP="006A03BF">
          <w:pPr>
            <w:pStyle w:val="Header"/>
            <w:rPr>
              <w:b/>
              <w:color w:val="566B73"/>
              <w:sz w:val="20"/>
              <w:szCs w:val="20"/>
              <w:lang w:val="en-GB"/>
            </w:rPr>
          </w:pPr>
          <w:r w:rsidRPr="00F44B2E">
            <w:rPr>
              <w:b/>
              <w:color w:val="566B73"/>
              <w:sz w:val="20"/>
              <w:szCs w:val="20"/>
              <w:lang w:val="en-GB"/>
            </w:rPr>
            <w:t>Subject</w:t>
          </w:r>
        </w:p>
      </w:tc>
      <w:tc>
        <w:tcPr>
          <w:tcW w:w="4394" w:type="dxa"/>
          <w:tcBorders>
            <w:top w:val="nil"/>
            <w:left w:val="nil"/>
            <w:bottom w:val="single" w:sz="12" w:space="0" w:color="566B73"/>
          </w:tcBorders>
          <w:vAlign w:val="center"/>
        </w:tcPr>
        <w:p w:rsidR="004316AC" w:rsidRPr="00F44B2E" w:rsidRDefault="0045286D" w:rsidP="009B5A08">
          <w:pPr>
            <w:pStyle w:val="Header"/>
            <w:rPr>
              <w:color w:val="566B73"/>
              <w:sz w:val="20"/>
              <w:szCs w:val="20"/>
              <w:lang w:val="en-GB"/>
            </w:rPr>
          </w:pPr>
          <w:r>
            <w:rPr>
              <w:color w:val="566B73"/>
              <w:sz w:val="20"/>
              <w:szCs w:val="20"/>
              <w:lang w:val="en-GB"/>
            </w:rPr>
            <w:t xml:space="preserve"> </w:t>
          </w:r>
          <w:r w:rsidR="001E410B">
            <w:rPr>
              <w:color w:val="566B73"/>
              <w:sz w:val="20"/>
              <w:szCs w:val="20"/>
              <w:lang w:val="en-GB"/>
            </w:rPr>
            <w:t>APEAL WELCOMES CIRCULAR ECONOMY PACKAGE</w:t>
          </w:r>
          <w:r w:rsidR="004316AC">
            <w:rPr>
              <w:color w:val="566B73"/>
              <w:sz w:val="20"/>
              <w:szCs w:val="20"/>
              <w:lang w:val="en-GB"/>
            </w:rPr>
            <w:t xml:space="preserve"> </w:t>
          </w:r>
        </w:p>
      </w:tc>
    </w:tr>
  </w:tbl>
  <w:p w:rsidR="004316AC" w:rsidRPr="00F44B2E" w:rsidRDefault="004316AC" w:rsidP="00060854">
    <w:pPr>
      <w:pStyle w:val="Header"/>
      <w:rPr>
        <w:lang w:val="en-GB"/>
      </w:rPr>
    </w:pPr>
  </w:p>
  <w:p w:rsidR="004316AC" w:rsidRPr="00F44B2E" w:rsidRDefault="004316AC">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00966"/>
    <w:multiLevelType w:val="hybridMultilevel"/>
    <w:tmpl w:val="D3B2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48F"/>
    <w:rsid w:val="00013D70"/>
    <w:rsid w:val="00031A14"/>
    <w:rsid w:val="0003511E"/>
    <w:rsid w:val="00037CA0"/>
    <w:rsid w:val="00060043"/>
    <w:rsid w:val="00060854"/>
    <w:rsid w:val="00070216"/>
    <w:rsid w:val="00095FFA"/>
    <w:rsid w:val="000A11D7"/>
    <w:rsid w:val="000A46F4"/>
    <w:rsid w:val="000C2FA6"/>
    <w:rsid w:val="000C6178"/>
    <w:rsid w:val="00107B51"/>
    <w:rsid w:val="001109F5"/>
    <w:rsid w:val="00111CC6"/>
    <w:rsid w:val="00112E18"/>
    <w:rsid w:val="0011528A"/>
    <w:rsid w:val="00125CC0"/>
    <w:rsid w:val="0013715A"/>
    <w:rsid w:val="00152920"/>
    <w:rsid w:val="0016168C"/>
    <w:rsid w:val="00162B0E"/>
    <w:rsid w:val="00165709"/>
    <w:rsid w:val="001774DF"/>
    <w:rsid w:val="001857F5"/>
    <w:rsid w:val="0019406B"/>
    <w:rsid w:val="001B449F"/>
    <w:rsid w:val="001C4EDB"/>
    <w:rsid w:val="001D0618"/>
    <w:rsid w:val="001D13BD"/>
    <w:rsid w:val="001E410B"/>
    <w:rsid w:val="001E51E3"/>
    <w:rsid w:val="0021133D"/>
    <w:rsid w:val="002131EE"/>
    <w:rsid w:val="00224BB5"/>
    <w:rsid w:val="002274C2"/>
    <w:rsid w:val="00233F10"/>
    <w:rsid w:val="00241FC9"/>
    <w:rsid w:val="00244B3A"/>
    <w:rsid w:val="00263AE9"/>
    <w:rsid w:val="002725B7"/>
    <w:rsid w:val="00292C78"/>
    <w:rsid w:val="002C2AAA"/>
    <w:rsid w:val="002C422D"/>
    <w:rsid w:val="002C6DB4"/>
    <w:rsid w:val="002C6F95"/>
    <w:rsid w:val="002E2CC7"/>
    <w:rsid w:val="003102F4"/>
    <w:rsid w:val="003162D3"/>
    <w:rsid w:val="00317152"/>
    <w:rsid w:val="003222C6"/>
    <w:rsid w:val="00341203"/>
    <w:rsid w:val="00350194"/>
    <w:rsid w:val="00356245"/>
    <w:rsid w:val="00356AF4"/>
    <w:rsid w:val="00362DA1"/>
    <w:rsid w:val="0036588E"/>
    <w:rsid w:val="00366E33"/>
    <w:rsid w:val="00386984"/>
    <w:rsid w:val="003940F7"/>
    <w:rsid w:val="003A1781"/>
    <w:rsid w:val="003A1B85"/>
    <w:rsid w:val="003A7983"/>
    <w:rsid w:val="003B4273"/>
    <w:rsid w:val="003C1CE7"/>
    <w:rsid w:val="003C2789"/>
    <w:rsid w:val="003C4426"/>
    <w:rsid w:val="003F6774"/>
    <w:rsid w:val="0040607B"/>
    <w:rsid w:val="00420D73"/>
    <w:rsid w:val="00424678"/>
    <w:rsid w:val="004248AB"/>
    <w:rsid w:val="004278D7"/>
    <w:rsid w:val="004316AC"/>
    <w:rsid w:val="004319CD"/>
    <w:rsid w:val="0044030F"/>
    <w:rsid w:val="00444506"/>
    <w:rsid w:val="0045286D"/>
    <w:rsid w:val="00473EC3"/>
    <w:rsid w:val="0047410E"/>
    <w:rsid w:val="00495B42"/>
    <w:rsid w:val="004A48E1"/>
    <w:rsid w:val="004B3A8C"/>
    <w:rsid w:val="004C20E3"/>
    <w:rsid w:val="004C32B8"/>
    <w:rsid w:val="004D19E5"/>
    <w:rsid w:val="004E2C8B"/>
    <w:rsid w:val="004E7405"/>
    <w:rsid w:val="004F4B99"/>
    <w:rsid w:val="00500310"/>
    <w:rsid w:val="00510092"/>
    <w:rsid w:val="00516C2A"/>
    <w:rsid w:val="00516F06"/>
    <w:rsid w:val="00521041"/>
    <w:rsid w:val="0052599A"/>
    <w:rsid w:val="00526818"/>
    <w:rsid w:val="00530DC6"/>
    <w:rsid w:val="005341F9"/>
    <w:rsid w:val="00573D54"/>
    <w:rsid w:val="005743C7"/>
    <w:rsid w:val="00574E30"/>
    <w:rsid w:val="00587448"/>
    <w:rsid w:val="005A4003"/>
    <w:rsid w:val="005B2B94"/>
    <w:rsid w:val="005D2EDC"/>
    <w:rsid w:val="005E5C01"/>
    <w:rsid w:val="005E7F11"/>
    <w:rsid w:val="005F0916"/>
    <w:rsid w:val="005F5C7F"/>
    <w:rsid w:val="006068A9"/>
    <w:rsid w:val="006153C0"/>
    <w:rsid w:val="0062623C"/>
    <w:rsid w:val="00630A27"/>
    <w:rsid w:val="00635CAD"/>
    <w:rsid w:val="00641EFC"/>
    <w:rsid w:val="00653453"/>
    <w:rsid w:val="006560DE"/>
    <w:rsid w:val="006577DF"/>
    <w:rsid w:val="00673D0D"/>
    <w:rsid w:val="00673E7A"/>
    <w:rsid w:val="006762F4"/>
    <w:rsid w:val="0068354F"/>
    <w:rsid w:val="00686359"/>
    <w:rsid w:val="006963D9"/>
    <w:rsid w:val="006A03BF"/>
    <w:rsid w:val="006A4776"/>
    <w:rsid w:val="006B42A9"/>
    <w:rsid w:val="006B47E9"/>
    <w:rsid w:val="006D2B21"/>
    <w:rsid w:val="006E33D9"/>
    <w:rsid w:val="006E53AF"/>
    <w:rsid w:val="006E648F"/>
    <w:rsid w:val="0070621F"/>
    <w:rsid w:val="0071275E"/>
    <w:rsid w:val="0071283D"/>
    <w:rsid w:val="00724A9F"/>
    <w:rsid w:val="00727342"/>
    <w:rsid w:val="007530FD"/>
    <w:rsid w:val="00757C46"/>
    <w:rsid w:val="007627C8"/>
    <w:rsid w:val="00764AEE"/>
    <w:rsid w:val="00766DBD"/>
    <w:rsid w:val="007728A5"/>
    <w:rsid w:val="007749BE"/>
    <w:rsid w:val="00784063"/>
    <w:rsid w:val="00791B54"/>
    <w:rsid w:val="007A6B0F"/>
    <w:rsid w:val="007B1006"/>
    <w:rsid w:val="007B2840"/>
    <w:rsid w:val="007C3DB0"/>
    <w:rsid w:val="008136AA"/>
    <w:rsid w:val="00815054"/>
    <w:rsid w:val="008210D1"/>
    <w:rsid w:val="00857858"/>
    <w:rsid w:val="00872125"/>
    <w:rsid w:val="008904AB"/>
    <w:rsid w:val="00892626"/>
    <w:rsid w:val="00892F7C"/>
    <w:rsid w:val="008C57E6"/>
    <w:rsid w:val="008D74E3"/>
    <w:rsid w:val="008E3B03"/>
    <w:rsid w:val="009062D1"/>
    <w:rsid w:val="0091007B"/>
    <w:rsid w:val="009140D8"/>
    <w:rsid w:val="0091610F"/>
    <w:rsid w:val="00923F97"/>
    <w:rsid w:val="00943F14"/>
    <w:rsid w:val="0094560B"/>
    <w:rsid w:val="00951E7C"/>
    <w:rsid w:val="00957C51"/>
    <w:rsid w:val="009637FF"/>
    <w:rsid w:val="009658DB"/>
    <w:rsid w:val="0097154B"/>
    <w:rsid w:val="00974847"/>
    <w:rsid w:val="009952DA"/>
    <w:rsid w:val="009A1DF6"/>
    <w:rsid w:val="009B5A08"/>
    <w:rsid w:val="009C05C8"/>
    <w:rsid w:val="009C1182"/>
    <w:rsid w:val="009C156C"/>
    <w:rsid w:val="009C7423"/>
    <w:rsid w:val="009C7B4C"/>
    <w:rsid w:val="009F7FC6"/>
    <w:rsid w:val="00A02479"/>
    <w:rsid w:val="00A0698F"/>
    <w:rsid w:val="00A16924"/>
    <w:rsid w:val="00A23DE6"/>
    <w:rsid w:val="00A24F1F"/>
    <w:rsid w:val="00A2669B"/>
    <w:rsid w:val="00A3159A"/>
    <w:rsid w:val="00A32A03"/>
    <w:rsid w:val="00A400FC"/>
    <w:rsid w:val="00A44D6A"/>
    <w:rsid w:val="00A51895"/>
    <w:rsid w:val="00A61970"/>
    <w:rsid w:val="00A62DCD"/>
    <w:rsid w:val="00A87D38"/>
    <w:rsid w:val="00A96104"/>
    <w:rsid w:val="00AA38E0"/>
    <w:rsid w:val="00AB7733"/>
    <w:rsid w:val="00AC6FA9"/>
    <w:rsid w:val="00AF34E0"/>
    <w:rsid w:val="00AF4A29"/>
    <w:rsid w:val="00AF61BE"/>
    <w:rsid w:val="00B01D7E"/>
    <w:rsid w:val="00B047E8"/>
    <w:rsid w:val="00B0783A"/>
    <w:rsid w:val="00B14CC9"/>
    <w:rsid w:val="00B2696F"/>
    <w:rsid w:val="00B346E8"/>
    <w:rsid w:val="00B44B39"/>
    <w:rsid w:val="00B5320C"/>
    <w:rsid w:val="00B778FB"/>
    <w:rsid w:val="00B94B85"/>
    <w:rsid w:val="00BA0FA5"/>
    <w:rsid w:val="00BD3334"/>
    <w:rsid w:val="00BF391F"/>
    <w:rsid w:val="00C10471"/>
    <w:rsid w:val="00C23E53"/>
    <w:rsid w:val="00C25AD8"/>
    <w:rsid w:val="00C26092"/>
    <w:rsid w:val="00C33B36"/>
    <w:rsid w:val="00C40345"/>
    <w:rsid w:val="00C413B3"/>
    <w:rsid w:val="00C44CFB"/>
    <w:rsid w:val="00C51A9F"/>
    <w:rsid w:val="00C62233"/>
    <w:rsid w:val="00C6501F"/>
    <w:rsid w:val="00C76250"/>
    <w:rsid w:val="00C93B4D"/>
    <w:rsid w:val="00C9783F"/>
    <w:rsid w:val="00CA3254"/>
    <w:rsid w:val="00CA6DD4"/>
    <w:rsid w:val="00CB0DAA"/>
    <w:rsid w:val="00CF2350"/>
    <w:rsid w:val="00CF6447"/>
    <w:rsid w:val="00CF791D"/>
    <w:rsid w:val="00D240DF"/>
    <w:rsid w:val="00D2750F"/>
    <w:rsid w:val="00D3177E"/>
    <w:rsid w:val="00D51B67"/>
    <w:rsid w:val="00D53818"/>
    <w:rsid w:val="00D551A2"/>
    <w:rsid w:val="00D55D94"/>
    <w:rsid w:val="00D563C9"/>
    <w:rsid w:val="00D654E1"/>
    <w:rsid w:val="00D70E10"/>
    <w:rsid w:val="00D725BE"/>
    <w:rsid w:val="00D91A89"/>
    <w:rsid w:val="00DB53E8"/>
    <w:rsid w:val="00DB6964"/>
    <w:rsid w:val="00DD5938"/>
    <w:rsid w:val="00E01EAD"/>
    <w:rsid w:val="00E03AB6"/>
    <w:rsid w:val="00E06319"/>
    <w:rsid w:val="00E210E3"/>
    <w:rsid w:val="00E3380A"/>
    <w:rsid w:val="00E51073"/>
    <w:rsid w:val="00E5368E"/>
    <w:rsid w:val="00E675E9"/>
    <w:rsid w:val="00E7192E"/>
    <w:rsid w:val="00E719E7"/>
    <w:rsid w:val="00E92D85"/>
    <w:rsid w:val="00E96C78"/>
    <w:rsid w:val="00EA1D3A"/>
    <w:rsid w:val="00EA6B98"/>
    <w:rsid w:val="00EB523B"/>
    <w:rsid w:val="00F2371C"/>
    <w:rsid w:val="00F244E5"/>
    <w:rsid w:val="00F408A7"/>
    <w:rsid w:val="00F42401"/>
    <w:rsid w:val="00F4363F"/>
    <w:rsid w:val="00F44B2E"/>
    <w:rsid w:val="00F44C3B"/>
    <w:rsid w:val="00F535AF"/>
    <w:rsid w:val="00F56803"/>
    <w:rsid w:val="00F6178E"/>
    <w:rsid w:val="00F63998"/>
    <w:rsid w:val="00F64B78"/>
    <w:rsid w:val="00F672C5"/>
    <w:rsid w:val="00F6735D"/>
    <w:rsid w:val="00F70447"/>
    <w:rsid w:val="00F70E3E"/>
    <w:rsid w:val="00FC332F"/>
    <w:rsid w:val="00FD7A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5:docId w15:val="{E0AA5DE6-F9CA-4C57-BAF5-61C4F18D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DA1"/>
    <w:pPr>
      <w:spacing w:after="200" w:line="276" w:lineRule="auto"/>
    </w:pPr>
    <w:rPr>
      <w:lang w:val="fr-BE" w:eastAsia="en-US"/>
    </w:rPr>
  </w:style>
  <w:style w:type="paragraph" w:styleId="Heading1">
    <w:name w:val="heading 1"/>
    <w:basedOn w:val="Normal"/>
    <w:next w:val="Normal"/>
    <w:link w:val="Heading1Char"/>
    <w:uiPriority w:val="99"/>
    <w:qFormat/>
    <w:rsid w:val="007749BE"/>
    <w:pPr>
      <w:keepNext/>
      <w:spacing w:before="480" w:after="0" w:line="240" w:lineRule="auto"/>
      <w:outlineLvl w:val="0"/>
    </w:pPr>
    <w:rPr>
      <w:rFonts w:ascii="Arial" w:eastAsia="Times New Roman" w:hAnsi="Arial"/>
      <w:b/>
      <w:caps/>
      <w:color w:val="566B73"/>
      <w:sz w:val="26"/>
      <w:szCs w:val="26"/>
      <w:lang w:val="en-GB"/>
    </w:rPr>
  </w:style>
  <w:style w:type="paragraph" w:styleId="Heading2">
    <w:name w:val="heading 2"/>
    <w:basedOn w:val="Normal"/>
    <w:next w:val="Normal"/>
    <w:link w:val="Heading2Char"/>
    <w:uiPriority w:val="99"/>
    <w:qFormat/>
    <w:rsid w:val="00362DA1"/>
    <w:pPr>
      <w:keepNext/>
      <w:spacing w:before="240" w:after="60" w:line="240" w:lineRule="auto"/>
      <w:outlineLvl w:val="1"/>
    </w:pPr>
    <w:rPr>
      <w:rFonts w:ascii="Arial" w:eastAsia="Times New Roman" w:hAnsi="Arial"/>
      <w:b/>
      <w:i/>
      <w:color w:val="000000"/>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49BE"/>
    <w:rPr>
      <w:rFonts w:ascii="Arial" w:hAnsi="Arial" w:cs="Times New Roman"/>
      <w:b/>
      <w:caps/>
      <w:color w:val="566B73"/>
      <w:sz w:val="26"/>
      <w:szCs w:val="26"/>
      <w:lang w:val="en-GB"/>
    </w:rPr>
  </w:style>
  <w:style w:type="character" w:customStyle="1" w:styleId="Heading2Char">
    <w:name w:val="Heading 2 Char"/>
    <w:basedOn w:val="DefaultParagraphFont"/>
    <w:link w:val="Heading2"/>
    <w:uiPriority w:val="99"/>
    <w:locked/>
    <w:rsid w:val="00362DA1"/>
    <w:rPr>
      <w:rFonts w:ascii="Arial" w:hAnsi="Arial" w:cs="Times New Roman"/>
      <w:b/>
      <w:i/>
      <w:color w:val="000000"/>
      <w:sz w:val="28"/>
      <w:szCs w:val="28"/>
      <w:lang w:val="en-GB"/>
    </w:rPr>
  </w:style>
  <w:style w:type="paragraph" w:styleId="Header">
    <w:name w:val="header"/>
    <w:basedOn w:val="Normal"/>
    <w:link w:val="HeaderChar"/>
    <w:uiPriority w:val="99"/>
    <w:rsid w:val="006E648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E648F"/>
    <w:rPr>
      <w:rFonts w:cs="Times New Roman"/>
    </w:rPr>
  </w:style>
  <w:style w:type="paragraph" w:styleId="Footer">
    <w:name w:val="footer"/>
    <w:basedOn w:val="Normal"/>
    <w:link w:val="FooterChar"/>
    <w:uiPriority w:val="99"/>
    <w:rsid w:val="006E648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E648F"/>
    <w:rPr>
      <w:rFonts w:cs="Times New Roman"/>
    </w:rPr>
  </w:style>
  <w:style w:type="table" w:styleId="TableGrid">
    <w:name w:val="Table Grid"/>
    <w:basedOn w:val="TableNormal"/>
    <w:uiPriority w:val="99"/>
    <w:rsid w:val="006E648F"/>
    <w:rPr>
      <w:sz w:val="20"/>
      <w:szCs w:val="20"/>
    </w:rPr>
    <w:tblPr>
      <w:tblBorders>
        <w:top w:val="single" w:sz="4" w:space="0" w:color="566B73"/>
        <w:left w:val="single" w:sz="4" w:space="0" w:color="566B73"/>
        <w:bottom w:val="single" w:sz="4" w:space="0" w:color="566B73"/>
        <w:right w:val="single" w:sz="4" w:space="0" w:color="566B73"/>
        <w:insideH w:val="single" w:sz="4" w:space="0" w:color="566B73"/>
        <w:insideV w:val="single" w:sz="4" w:space="0" w:color="566B73"/>
      </w:tblBorders>
    </w:tblPr>
  </w:style>
  <w:style w:type="paragraph" w:styleId="BalloonText">
    <w:name w:val="Balloon Text"/>
    <w:basedOn w:val="Normal"/>
    <w:link w:val="BalloonTextChar"/>
    <w:uiPriority w:val="99"/>
    <w:semiHidden/>
    <w:rsid w:val="00233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3F10"/>
    <w:rPr>
      <w:rFonts w:ascii="Tahoma" w:hAnsi="Tahoma" w:cs="Tahoma"/>
      <w:sz w:val="16"/>
      <w:szCs w:val="16"/>
    </w:rPr>
  </w:style>
  <w:style w:type="paragraph" w:styleId="ListParagraph">
    <w:name w:val="List Paragraph"/>
    <w:basedOn w:val="Normal"/>
    <w:uiPriority w:val="99"/>
    <w:qFormat/>
    <w:rsid w:val="007749BE"/>
    <w:pPr>
      <w:ind w:left="851" w:hanging="131"/>
      <w:contextualSpacing/>
    </w:pPr>
  </w:style>
  <w:style w:type="character" w:styleId="IntenseEmphasis">
    <w:name w:val="Intense Emphasis"/>
    <w:aliases w:val="Body"/>
    <w:basedOn w:val="DefaultParagraphFont"/>
    <w:uiPriority w:val="99"/>
    <w:qFormat/>
    <w:rsid w:val="006D2B21"/>
  </w:style>
  <w:style w:type="paragraph" w:customStyle="1" w:styleId="Heading20">
    <w:name w:val="Heading_2"/>
    <w:basedOn w:val="Heading1"/>
    <w:link w:val="Heading2Char0"/>
    <w:uiPriority w:val="99"/>
    <w:rsid w:val="007749BE"/>
    <w:rPr>
      <w:caps w:val="0"/>
      <w:sz w:val="22"/>
      <w:szCs w:val="22"/>
    </w:rPr>
  </w:style>
  <w:style w:type="paragraph" w:customStyle="1" w:styleId="Heading3">
    <w:name w:val="Heading_3"/>
    <w:basedOn w:val="Heading20"/>
    <w:link w:val="Heading3Char"/>
    <w:uiPriority w:val="99"/>
    <w:rsid w:val="007749BE"/>
    <w:rPr>
      <w:b w:val="0"/>
      <w:i/>
    </w:rPr>
  </w:style>
  <w:style w:type="character" w:customStyle="1" w:styleId="Heading2Char0">
    <w:name w:val="Heading_2 Char"/>
    <w:basedOn w:val="Heading1Char"/>
    <w:link w:val="Heading20"/>
    <w:uiPriority w:val="99"/>
    <w:locked/>
    <w:rsid w:val="007749BE"/>
    <w:rPr>
      <w:rFonts w:ascii="Arial" w:hAnsi="Arial" w:cs="Times New Roman"/>
      <w:b/>
      <w:caps/>
      <w:color w:val="566B73"/>
      <w:sz w:val="26"/>
      <w:szCs w:val="26"/>
      <w:lang w:val="en-GB"/>
    </w:rPr>
  </w:style>
  <w:style w:type="paragraph" w:styleId="EndnoteText">
    <w:name w:val="endnote text"/>
    <w:basedOn w:val="Normal"/>
    <w:link w:val="EndnoteTextChar"/>
    <w:uiPriority w:val="99"/>
    <w:semiHidden/>
    <w:rsid w:val="007749B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7749BE"/>
    <w:rPr>
      <w:rFonts w:cs="Times New Roman"/>
      <w:sz w:val="20"/>
      <w:szCs w:val="20"/>
    </w:rPr>
  </w:style>
  <w:style w:type="character" w:customStyle="1" w:styleId="Heading3Char">
    <w:name w:val="Heading_3 Char"/>
    <w:basedOn w:val="Heading2Char0"/>
    <w:link w:val="Heading3"/>
    <w:uiPriority w:val="99"/>
    <w:locked/>
    <w:rsid w:val="007749BE"/>
    <w:rPr>
      <w:rFonts w:ascii="Arial" w:hAnsi="Arial" w:cs="Times New Roman"/>
      <w:b/>
      <w:i/>
      <w:caps/>
      <w:color w:val="566B73"/>
      <w:sz w:val="26"/>
      <w:szCs w:val="26"/>
      <w:lang w:val="en-GB"/>
    </w:rPr>
  </w:style>
  <w:style w:type="character" w:styleId="EndnoteReference">
    <w:name w:val="endnote reference"/>
    <w:basedOn w:val="DefaultParagraphFont"/>
    <w:uiPriority w:val="99"/>
    <w:semiHidden/>
    <w:rsid w:val="007749BE"/>
    <w:rPr>
      <w:rFonts w:cs="Times New Roman"/>
      <w:vertAlign w:val="superscript"/>
    </w:rPr>
  </w:style>
  <w:style w:type="paragraph" w:styleId="FootnoteText">
    <w:name w:val="footnote text"/>
    <w:basedOn w:val="Normal"/>
    <w:link w:val="FootnoteTextChar"/>
    <w:uiPriority w:val="99"/>
    <w:semiHidden/>
    <w:rsid w:val="007749B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749BE"/>
    <w:rPr>
      <w:rFonts w:cs="Times New Roman"/>
      <w:sz w:val="20"/>
      <w:szCs w:val="20"/>
    </w:rPr>
  </w:style>
  <w:style w:type="character" w:styleId="FootnoteReference">
    <w:name w:val="footnote reference"/>
    <w:basedOn w:val="DefaultParagraphFont"/>
    <w:uiPriority w:val="99"/>
    <w:semiHidden/>
    <w:rsid w:val="007749BE"/>
    <w:rPr>
      <w:rFonts w:cs="Times New Roman"/>
      <w:vertAlign w:val="superscript"/>
    </w:rPr>
  </w:style>
  <w:style w:type="paragraph" w:customStyle="1" w:styleId="Footnote">
    <w:name w:val="Footnote"/>
    <w:basedOn w:val="FootnoteText"/>
    <w:link w:val="FootnoteChar"/>
    <w:uiPriority w:val="99"/>
    <w:rsid w:val="007749BE"/>
    <w:rPr>
      <w:sz w:val="16"/>
    </w:rPr>
  </w:style>
  <w:style w:type="character" w:customStyle="1" w:styleId="FootnoteChar">
    <w:name w:val="Footnote Char"/>
    <w:basedOn w:val="FootnoteTextChar"/>
    <w:link w:val="Footnote"/>
    <w:uiPriority w:val="99"/>
    <w:locked/>
    <w:rsid w:val="007749BE"/>
    <w:rPr>
      <w:rFonts w:cs="Times New Roman"/>
      <w:sz w:val="20"/>
      <w:szCs w:val="20"/>
    </w:rPr>
  </w:style>
  <w:style w:type="character" w:styleId="Hyperlink">
    <w:name w:val="Hyperlink"/>
    <w:basedOn w:val="DefaultParagraphFont"/>
    <w:uiPriority w:val="99"/>
    <w:rsid w:val="002C6DB4"/>
    <w:rPr>
      <w:rFonts w:cs="Times New Roman"/>
      <w:color w:val="0000FF"/>
      <w:u w:val="single"/>
    </w:rPr>
  </w:style>
  <w:style w:type="character" w:styleId="CommentReference">
    <w:name w:val="annotation reference"/>
    <w:basedOn w:val="DefaultParagraphFont"/>
    <w:uiPriority w:val="99"/>
    <w:semiHidden/>
    <w:rsid w:val="000C2FA6"/>
    <w:rPr>
      <w:rFonts w:cs="Times New Roman"/>
      <w:sz w:val="16"/>
      <w:szCs w:val="16"/>
    </w:rPr>
  </w:style>
  <w:style w:type="paragraph" w:styleId="CommentText">
    <w:name w:val="annotation text"/>
    <w:basedOn w:val="Normal"/>
    <w:link w:val="CommentTextChar"/>
    <w:uiPriority w:val="99"/>
    <w:semiHidden/>
    <w:rsid w:val="000C2FA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C2FA6"/>
    <w:rPr>
      <w:rFonts w:cs="Times New Roman"/>
      <w:lang w:eastAsia="en-US"/>
    </w:rPr>
  </w:style>
  <w:style w:type="paragraph" w:styleId="CommentSubject">
    <w:name w:val="annotation subject"/>
    <w:basedOn w:val="CommentText"/>
    <w:next w:val="CommentText"/>
    <w:link w:val="CommentSubjectChar"/>
    <w:uiPriority w:val="99"/>
    <w:semiHidden/>
    <w:rsid w:val="000C2FA6"/>
    <w:rPr>
      <w:b/>
      <w:bCs/>
    </w:rPr>
  </w:style>
  <w:style w:type="character" w:customStyle="1" w:styleId="CommentSubjectChar">
    <w:name w:val="Comment Subject Char"/>
    <w:basedOn w:val="CommentTextChar"/>
    <w:link w:val="CommentSubject"/>
    <w:uiPriority w:val="99"/>
    <w:semiHidden/>
    <w:locked/>
    <w:rsid w:val="000C2FA6"/>
    <w:rPr>
      <w:rFonts w:cs="Times New Roman"/>
      <w:b/>
      <w:bCs/>
      <w:lang w:eastAsia="en-US"/>
    </w:rPr>
  </w:style>
  <w:style w:type="paragraph" w:styleId="NormalWeb">
    <w:name w:val="Normal (Web)"/>
    <w:basedOn w:val="Normal"/>
    <w:uiPriority w:val="99"/>
    <w:unhideWhenUsed/>
    <w:rsid w:val="00E92D85"/>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apple-converted-space">
    <w:name w:val="apple-converted-space"/>
    <w:basedOn w:val="DefaultParagraphFont"/>
    <w:rsid w:val="00A96104"/>
  </w:style>
  <w:style w:type="paragraph" w:styleId="PlainText">
    <w:name w:val="Plain Text"/>
    <w:basedOn w:val="Normal"/>
    <w:link w:val="PlainTextChar"/>
    <w:uiPriority w:val="99"/>
    <w:unhideWhenUsed/>
    <w:rsid w:val="00764AEE"/>
    <w:pPr>
      <w:spacing w:after="0" w:line="240" w:lineRule="auto"/>
    </w:pPr>
    <w:rPr>
      <w:rFonts w:ascii="Consolas" w:eastAsiaTheme="minorHAnsi" w:hAnsi="Consolas"/>
      <w:sz w:val="21"/>
      <w:szCs w:val="21"/>
      <w:lang w:eastAsia="fr-BE"/>
    </w:rPr>
  </w:style>
  <w:style w:type="character" w:customStyle="1" w:styleId="PlainTextChar">
    <w:name w:val="Plain Text Char"/>
    <w:basedOn w:val="DefaultParagraphFont"/>
    <w:link w:val="PlainText"/>
    <w:uiPriority w:val="99"/>
    <w:rsid w:val="00764AEE"/>
    <w:rPr>
      <w:rFonts w:ascii="Consolas" w:eastAsiaTheme="minorHAnsi" w:hAnsi="Consolas"/>
      <w:sz w:val="21"/>
      <w:szCs w:val="21"/>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813478">
      <w:bodyDiv w:val="1"/>
      <w:marLeft w:val="0"/>
      <w:marRight w:val="0"/>
      <w:marTop w:val="0"/>
      <w:marBottom w:val="0"/>
      <w:divBdr>
        <w:top w:val="none" w:sz="0" w:space="0" w:color="auto"/>
        <w:left w:val="none" w:sz="0" w:space="0" w:color="auto"/>
        <w:bottom w:val="none" w:sz="0" w:space="0" w:color="auto"/>
        <w:right w:val="none" w:sz="0" w:space="0" w:color="auto"/>
      </w:divBdr>
    </w:div>
    <w:div w:id="1135488187">
      <w:bodyDiv w:val="1"/>
      <w:marLeft w:val="0"/>
      <w:marRight w:val="0"/>
      <w:marTop w:val="0"/>
      <w:marBottom w:val="0"/>
      <w:divBdr>
        <w:top w:val="none" w:sz="0" w:space="0" w:color="auto"/>
        <w:left w:val="none" w:sz="0" w:space="0" w:color="auto"/>
        <w:bottom w:val="none" w:sz="0" w:space="0" w:color="auto"/>
        <w:right w:val="none" w:sz="0" w:space="0" w:color="auto"/>
      </w:divBdr>
    </w:div>
    <w:div w:id="1162039177">
      <w:bodyDiv w:val="1"/>
      <w:marLeft w:val="0"/>
      <w:marRight w:val="0"/>
      <w:marTop w:val="0"/>
      <w:marBottom w:val="0"/>
      <w:divBdr>
        <w:top w:val="none" w:sz="0" w:space="0" w:color="auto"/>
        <w:left w:val="none" w:sz="0" w:space="0" w:color="auto"/>
        <w:bottom w:val="none" w:sz="0" w:space="0" w:color="auto"/>
        <w:right w:val="none" w:sz="0" w:space="0" w:color="auto"/>
      </w:divBdr>
    </w:div>
    <w:div w:id="1374111503">
      <w:marLeft w:val="0"/>
      <w:marRight w:val="0"/>
      <w:marTop w:val="0"/>
      <w:marBottom w:val="0"/>
      <w:divBdr>
        <w:top w:val="none" w:sz="0" w:space="0" w:color="auto"/>
        <w:left w:val="none" w:sz="0" w:space="0" w:color="auto"/>
        <w:bottom w:val="none" w:sz="0" w:space="0" w:color="auto"/>
        <w:right w:val="none" w:sz="0" w:space="0" w:color="auto"/>
      </w:divBdr>
      <w:divsChild>
        <w:div w:id="1374111505">
          <w:marLeft w:val="0"/>
          <w:marRight w:val="0"/>
          <w:marTop w:val="0"/>
          <w:marBottom w:val="75"/>
          <w:divBdr>
            <w:top w:val="single" w:sz="6" w:space="8" w:color="E3E3E3"/>
            <w:left w:val="single" w:sz="6" w:space="8" w:color="E3E3E3"/>
            <w:bottom w:val="single" w:sz="6" w:space="8" w:color="E3E3E3"/>
            <w:right w:val="single" w:sz="6" w:space="8" w:color="E3E3E3"/>
          </w:divBdr>
        </w:div>
      </w:divsChild>
    </w:div>
    <w:div w:id="1374111506">
      <w:marLeft w:val="0"/>
      <w:marRight w:val="0"/>
      <w:marTop w:val="0"/>
      <w:marBottom w:val="0"/>
      <w:divBdr>
        <w:top w:val="none" w:sz="0" w:space="0" w:color="auto"/>
        <w:left w:val="none" w:sz="0" w:space="0" w:color="auto"/>
        <w:bottom w:val="none" w:sz="0" w:space="0" w:color="auto"/>
        <w:right w:val="none" w:sz="0" w:space="0" w:color="auto"/>
      </w:divBdr>
      <w:divsChild>
        <w:div w:id="1374111504">
          <w:marLeft w:val="0"/>
          <w:marRight w:val="0"/>
          <w:marTop w:val="0"/>
          <w:marBottom w:val="0"/>
          <w:divBdr>
            <w:top w:val="none" w:sz="0" w:space="0" w:color="auto"/>
            <w:left w:val="none" w:sz="0" w:space="0" w:color="auto"/>
            <w:bottom w:val="none" w:sz="0" w:space="0" w:color="auto"/>
            <w:right w:val="none" w:sz="0" w:space="0" w:color="auto"/>
          </w:divBdr>
        </w:div>
        <w:div w:id="1374111507">
          <w:marLeft w:val="0"/>
          <w:marRight w:val="0"/>
          <w:marTop w:val="0"/>
          <w:marBottom w:val="0"/>
          <w:divBdr>
            <w:top w:val="none" w:sz="0" w:space="0" w:color="auto"/>
            <w:left w:val="none" w:sz="0" w:space="0" w:color="auto"/>
            <w:bottom w:val="none" w:sz="0" w:space="0" w:color="auto"/>
            <w:right w:val="none" w:sz="0" w:space="0" w:color="auto"/>
          </w:divBdr>
        </w:div>
        <w:div w:id="1374111508">
          <w:marLeft w:val="0"/>
          <w:marRight w:val="0"/>
          <w:marTop w:val="0"/>
          <w:marBottom w:val="0"/>
          <w:divBdr>
            <w:top w:val="none" w:sz="0" w:space="0" w:color="auto"/>
            <w:left w:val="none" w:sz="0" w:space="0" w:color="auto"/>
            <w:bottom w:val="none" w:sz="0" w:space="0" w:color="auto"/>
            <w:right w:val="none" w:sz="0" w:space="0" w:color="auto"/>
          </w:divBdr>
        </w:div>
      </w:divsChild>
    </w:div>
    <w:div w:id="1635526095">
      <w:bodyDiv w:val="1"/>
      <w:marLeft w:val="0"/>
      <w:marRight w:val="0"/>
      <w:marTop w:val="0"/>
      <w:marBottom w:val="0"/>
      <w:divBdr>
        <w:top w:val="none" w:sz="0" w:space="0" w:color="auto"/>
        <w:left w:val="none" w:sz="0" w:space="0" w:color="auto"/>
        <w:bottom w:val="none" w:sz="0" w:space="0" w:color="auto"/>
        <w:right w:val="none" w:sz="0" w:space="0" w:color="auto"/>
      </w:divBdr>
    </w:div>
    <w:div w:id="213078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l.herman@pelicomms.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elforpackagi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peal.org" TargetMode="External"/><Relationship Id="rId4" Type="http://schemas.openxmlformats.org/officeDocument/2006/relationships/settings" Target="settings.xml"/><Relationship Id="rId9" Type="http://schemas.openxmlformats.org/officeDocument/2006/relationships/hyperlink" Target="mailto:p.mobbs@apeal.b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DA14B-053A-433C-BC91-508C87814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3166</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APEAL PLANS TO ‘STEEL’ THE SHOW AT INTERPACK</vt:lpstr>
      <vt:lpstr>APEAL PLANS TO ‘STEEL’ THE SHOW AT INTERPACK</vt:lpstr>
    </vt:vector>
  </TitlesOfParts>
  <Company>Morris&amp;Chappman</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APEAL PLANS TO ‘STEEL’ THE SHOW AT INTERPACK</dc:title>
  <dc:creator>Thierry</dc:creator>
  <cp:lastModifiedBy>Patricia Mobbs</cp:lastModifiedBy>
  <cp:revision>2</cp:revision>
  <cp:lastPrinted>2017-12-19T09:23:00Z</cp:lastPrinted>
  <dcterms:created xsi:type="dcterms:W3CDTF">2017-12-19T09:49:00Z</dcterms:created>
  <dcterms:modified xsi:type="dcterms:W3CDTF">2017-12-19T09:49:00Z</dcterms:modified>
</cp:coreProperties>
</file>